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B6CE" w14:textId="77777777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C6F1D" w14:paraId="5B0D14E3" w14:textId="77777777" w:rsidTr="006C6F1D">
        <w:trPr>
          <w:trHeight w:val="411"/>
        </w:trPr>
        <w:tc>
          <w:tcPr>
            <w:tcW w:w="9346" w:type="dxa"/>
            <w:shd w:val="clear" w:color="auto" w:fill="D9D9D9" w:themeFill="background1" w:themeFillShade="D9"/>
          </w:tcPr>
          <w:p w14:paraId="7327DB18" w14:textId="77777777" w:rsidR="006C6F1D" w:rsidRPr="001512C9" w:rsidRDefault="006C6F1D" w:rsidP="006C6F1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Název dotačního programu a jeho vyhlašovatel</w:t>
            </w:r>
          </w:p>
        </w:tc>
      </w:tr>
    </w:tbl>
    <w:p w14:paraId="1FE73B55" w14:textId="77777777" w:rsidR="0063115B" w:rsidRDefault="002031E2" w:rsidP="005B2EED">
      <w:pPr>
        <w:pStyle w:val="Nzev"/>
        <w:spacing w:after="0"/>
        <w:ind w:right="-284"/>
        <w:jc w:val="left"/>
        <w:rPr>
          <w:rFonts w:cs="Arial"/>
          <w:sz w:val="32"/>
          <w:szCs w:val="32"/>
        </w:rPr>
      </w:pPr>
      <w:r w:rsidRPr="000B4E4C">
        <w:rPr>
          <w:rFonts w:cs="Arial"/>
          <w:b w:val="0"/>
          <w:sz w:val="22"/>
          <w:szCs w:val="22"/>
        </w:rPr>
        <w:t>Dotační program:</w:t>
      </w:r>
      <w:r w:rsidRPr="002031E2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ab/>
      </w:r>
      <w:r w:rsidR="005B2EED">
        <w:rPr>
          <w:rFonts w:cs="Arial"/>
          <w:b w:val="0"/>
          <w:sz w:val="24"/>
          <w:szCs w:val="24"/>
        </w:rPr>
        <w:tab/>
      </w:r>
      <w:r w:rsidR="00E84767" w:rsidRPr="007247FD">
        <w:rPr>
          <w:rFonts w:cs="Arial"/>
          <w:sz w:val="32"/>
          <w:szCs w:val="32"/>
        </w:rPr>
        <w:t xml:space="preserve">Podpora </w:t>
      </w:r>
      <w:r w:rsidR="0063115B">
        <w:rPr>
          <w:rFonts w:cs="Arial"/>
          <w:sz w:val="32"/>
          <w:szCs w:val="32"/>
        </w:rPr>
        <w:t xml:space="preserve">pořadatelů sportovních akcí  </w:t>
      </w:r>
    </w:p>
    <w:p w14:paraId="04DBF0D1" w14:textId="77777777" w:rsidR="005B2EED" w:rsidRPr="007247FD" w:rsidRDefault="0063115B" w:rsidP="0063115B">
      <w:pPr>
        <w:pStyle w:val="Nzev"/>
        <w:spacing w:before="0" w:after="0"/>
        <w:ind w:left="2126" w:right="-284" w:firstLine="709"/>
        <w:jc w:val="left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a </w:t>
      </w:r>
      <w:r w:rsidR="005B2EED" w:rsidRPr="007247FD">
        <w:rPr>
          <w:rFonts w:cs="Arial"/>
          <w:sz w:val="32"/>
          <w:szCs w:val="32"/>
        </w:rPr>
        <w:t>volnočasových aktivit</w:t>
      </w:r>
    </w:p>
    <w:p w14:paraId="44587AD9" w14:textId="5417D155" w:rsidR="00E806C7" w:rsidRDefault="002031E2" w:rsidP="000451C7">
      <w:pPr>
        <w:pStyle w:val="Nzev"/>
        <w:spacing w:before="120" w:after="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Vyhlašovatel</w:t>
      </w:r>
      <w:r w:rsidR="000B4E4C"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>:</w:t>
      </w:r>
      <w:r w:rsidR="000B4E4C">
        <w:rPr>
          <w:rFonts w:cs="Arial"/>
          <w:b w:val="0"/>
          <w:sz w:val="22"/>
          <w:szCs w:val="22"/>
        </w:rPr>
        <w:tab/>
      </w:r>
      <w:r w:rsidRPr="000B4E4C">
        <w:rPr>
          <w:rFonts w:cs="Arial"/>
          <w:b w:val="0"/>
          <w:sz w:val="22"/>
          <w:szCs w:val="22"/>
        </w:rPr>
        <w:t>Město Šternberk</w:t>
      </w:r>
      <w:r w:rsidR="000451C7">
        <w:rPr>
          <w:rFonts w:cs="Arial"/>
          <w:b w:val="0"/>
          <w:sz w:val="22"/>
          <w:szCs w:val="22"/>
        </w:rPr>
        <w:t xml:space="preserve"> </w:t>
      </w:r>
      <w:r w:rsidRPr="00370F22">
        <w:rPr>
          <w:rFonts w:cs="Arial"/>
          <w:b w:val="0"/>
          <w:sz w:val="22"/>
          <w:szCs w:val="22"/>
        </w:rPr>
        <w:t xml:space="preserve">na základě usnesení Rady města Šternberka </w:t>
      </w:r>
    </w:p>
    <w:p w14:paraId="116DAFA0" w14:textId="69E7EB5A" w:rsidR="002031E2" w:rsidRPr="00F046AD" w:rsidRDefault="002031E2" w:rsidP="000B4E4C">
      <w:pPr>
        <w:pStyle w:val="Nzev"/>
        <w:spacing w:before="0" w:after="120"/>
        <w:ind w:left="2123" w:right="-284" w:firstLine="709"/>
        <w:jc w:val="left"/>
        <w:rPr>
          <w:rFonts w:cs="Arial"/>
          <w:b w:val="0"/>
          <w:sz w:val="22"/>
          <w:szCs w:val="22"/>
        </w:rPr>
      </w:pPr>
      <w:r w:rsidRPr="00F046AD">
        <w:rPr>
          <w:rFonts w:cs="Arial"/>
          <w:b w:val="0"/>
          <w:sz w:val="22"/>
          <w:szCs w:val="22"/>
        </w:rPr>
        <w:t>č</w:t>
      </w:r>
      <w:r w:rsidR="00E806C7" w:rsidRPr="00F046AD">
        <w:rPr>
          <w:rFonts w:cs="Arial"/>
          <w:b w:val="0"/>
          <w:sz w:val="22"/>
          <w:szCs w:val="22"/>
        </w:rPr>
        <w:t xml:space="preserve">. </w:t>
      </w:r>
      <w:r w:rsidR="00C426A5">
        <w:rPr>
          <w:rFonts w:cs="Arial"/>
          <w:b w:val="0"/>
          <w:sz w:val="22"/>
          <w:szCs w:val="22"/>
        </w:rPr>
        <w:t>2482/62</w:t>
      </w:r>
      <w:r w:rsidR="00F046AD" w:rsidRPr="00F046AD">
        <w:rPr>
          <w:rFonts w:cs="Arial"/>
          <w:b w:val="0"/>
          <w:sz w:val="22"/>
          <w:szCs w:val="22"/>
        </w:rPr>
        <w:t xml:space="preserve"> </w:t>
      </w:r>
      <w:r w:rsidRPr="00F046AD">
        <w:rPr>
          <w:rFonts w:cs="Arial"/>
          <w:b w:val="0"/>
          <w:sz w:val="22"/>
          <w:szCs w:val="22"/>
        </w:rPr>
        <w:t>ze dne</w:t>
      </w:r>
      <w:r w:rsidR="00CC37A8" w:rsidRPr="00F046AD">
        <w:rPr>
          <w:rFonts w:cs="Arial"/>
          <w:b w:val="0"/>
          <w:sz w:val="22"/>
          <w:szCs w:val="22"/>
        </w:rPr>
        <w:t xml:space="preserve"> </w:t>
      </w:r>
      <w:r w:rsidR="00590A10">
        <w:rPr>
          <w:rFonts w:cs="Arial"/>
          <w:b w:val="0"/>
          <w:sz w:val="22"/>
          <w:szCs w:val="22"/>
        </w:rPr>
        <w:t>25.10.2021</w:t>
      </w:r>
      <w:r w:rsidR="00512D9F" w:rsidRPr="00F046AD">
        <w:rPr>
          <w:rFonts w:cs="Arial"/>
          <w:b w:val="0"/>
          <w:sz w:val="22"/>
          <w:szCs w:val="22"/>
        </w:rPr>
        <w:t xml:space="preserve">        </w:t>
      </w:r>
    </w:p>
    <w:p w14:paraId="37F749F8" w14:textId="5297C8E5" w:rsidR="0095699E" w:rsidRDefault="0095699E" w:rsidP="0063115B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Administrátor</w:t>
      </w:r>
      <w:r>
        <w:rPr>
          <w:rFonts w:cs="Arial"/>
          <w:b w:val="0"/>
          <w:sz w:val="22"/>
          <w:szCs w:val="22"/>
        </w:rPr>
        <w:t xml:space="preserve"> programu: </w:t>
      </w:r>
      <w:r>
        <w:rPr>
          <w:rFonts w:cs="Arial"/>
          <w:b w:val="0"/>
          <w:sz w:val="22"/>
          <w:szCs w:val="22"/>
        </w:rPr>
        <w:tab/>
      </w:r>
      <w:r w:rsidR="0078723E" w:rsidRPr="000B4E4C">
        <w:rPr>
          <w:rFonts w:cs="Arial"/>
          <w:b w:val="0"/>
          <w:sz w:val="22"/>
          <w:szCs w:val="22"/>
        </w:rPr>
        <w:t>od</w:t>
      </w:r>
      <w:r w:rsidR="00587890">
        <w:rPr>
          <w:rFonts w:cs="Arial"/>
          <w:b w:val="0"/>
          <w:sz w:val="22"/>
          <w:szCs w:val="22"/>
        </w:rPr>
        <w:t>bor</w:t>
      </w:r>
      <w:r w:rsidR="0078723E">
        <w:rPr>
          <w:rFonts w:cs="Arial"/>
          <w:b w:val="0"/>
          <w:sz w:val="22"/>
          <w:szCs w:val="22"/>
        </w:rPr>
        <w:t xml:space="preserve"> personalistiky,</w:t>
      </w:r>
      <w:r w:rsidR="0078723E" w:rsidRPr="000B4E4C">
        <w:rPr>
          <w:rFonts w:cs="Arial"/>
          <w:b w:val="0"/>
          <w:sz w:val="22"/>
          <w:szCs w:val="22"/>
        </w:rPr>
        <w:t xml:space="preserve"> </w:t>
      </w:r>
      <w:r w:rsidRPr="000B4E4C">
        <w:rPr>
          <w:rFonts w:cs="Arial"/>
          <w:b w:val="0"/>
          <w:sz w:val="22"/>
          <w:szCs w:val="22"/>
        </w:rPr>
        <w:t>školství a kultury Městského úřadu Šternberk</w:t>
      </w:r>
    </w:p>
    <w:p w14:paraId="24DD7574" w14:textId="77777777" w:rsidR="0095699E" w:rsidRPr="0063115B" w:rsidRDefault="0095699E" w:rsidP="0095699E">
      <w:pPr>
        <w:pStyle w:val="Nzev"/>
        <w:spacing w:before="0" w:after="120"/>
        <w:ind w:right="-284"/>
        <w:jc w:val="left"/>
        <w:rPr>
          <w:rFonts w:cs="Arial"/>
          <w:b w:val="0"/>
          <w:i/>
          <w:sz w:val="22"/>
          <w:szCs w:val="22"/>
        </w:rPr>
      </w:pPr>
      <w:r>
        <w:rPr>
          <w:rFonts w:cs="Arial"/>
          <w:b w:val="0"/>
          <w:sz w:val="22"/>
          <w:szCs w:val="22"/>
        </w:rPr>
        <w:t>Věcně příslušná komise:</w:t>
      </w:r>
      <w:r w:rsidRPr="000B4E4C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ab/>
        <w:t>komise</w:t>
      </w:r>
      <w:r w:rsidRPr="0095699E">
        <w:rPr>
          <w:rFonts w:cs="Arial"/>
          <w:b w:val="0"/>
          <w:sz w:val="22"/>
          <w:szCs w:val="22"/>
        </w:rPr>
        <w:t xml:space="preserve"> </w:t>
      </w:r>
      <w:r w:rsidR="0063115B">
        <w:rPr>
          <w:rFonts w:cs="Arial"/>
          <w:b w:val="0"/>
          <w:sz w:val="22"/>
          <w:szCs w:val="22"/>
        </w:rPr>
        <w:t>sport</w:t>
      </w:r>
      <w:r w:rsidR="0078723E">
        <w:rPr>
          <w:rFonts w:cs="Arial"/>
          <w:b w:val="0"/>
          <w:sz w:val="22"/>
          <w:szCs w:val="22"/>
        </w:rPr>
        <w:t>ovní</w:t>
      </w:r>
    </w:p>
    <w:p w14:paraId="5EEFAC1F" w14:textId="77777777" w:rsidR="006E4051" w:rsidRPr="0095699E" w:rsidRDefault="0008603E" w:rsidP="0095699E">
      <w:pPr>
        <w:pStyle w:val="Nzev"/>
        <w:spacing w:before="0" w:after="0"/>
        <w:ind w:right="-284" w:firstLine="709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58F72B8C" w14:textId="77777777" w:rsidTr="002031E2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BAAF7F5" w14:textId="77777777" w:rsidR="002031E2" w:rsidRPr="000F52A6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Účel, důvody a celkový objem peněžních prostředků vyčleněných na podporu stanoveného účelu</w:t>
            </w:r>
          </w:p>
        </w:tc>
      </w:tr>
    </w:tbl>
    <w:p w14:paraId="1D4E86E2" w14:textId="77777777" w:rsidR="006C6F1D" w:rsidRDefault="006C6F1D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68994A97" w14:textId="77777777" w:rsidR="001921C3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Vymezení účelu, na který mohou být peněžní prostředky poskytnuty:</w:t>
      </w:r>
    </w:p>
    <w:p w14:paraId="5BCF6F6D" w14:textId="77777777" w:rsidR="0063115B" w:rsidRPr="000B4E4C" w:rsidRDefault="0063115B" w:rsidP="0063115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uspořádání jednorázové sportovní akce pro veřejnost v daném roce</w:t>
      </w:r>
    </w:p>
    <w:p w14:paraId="3FF28A01" w14:textId="77777777" w:rsidR="0063115B" w:rsidRPr="0063115B" w:rsidRDefault="0063115B" w:rsidP="0063115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pořadatelství série sportovních akcí pro veřejnost v daném roce</w:t>
      </w:r>
    </w:p>
    <w:p w14:paraId="56A5274C" w14:textId="77777777" w:rsidR="00735685" w:rsidRDefault="00735685" w:rsidP="0073568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klubové činnosti</w:t>
      </w:r>
      <w:r w:rsidR="00895D57">
        <w:rPr>
          <w:rFonts w:ascii="Arial" w:hAnsi="Arial" w:cs="Arial"/>
          <w:sz w:val="22"/>
          <w:szCs w:val="22"/>
        </w:rPr>
        <w:t xml:space="preserve"> zaměřené na sport a aktivní trávení volného času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E16DC5" w14:textId="77777777" w:rsidR="00AA1F67" w:rsidRPr="000B4E4C" w:rsidRDefault="00AA1F67" w:rsidP="004E476E">
      <w:pPr>
        <w:jc w:val="both"/>
        <w:rPr>
          <w:rFonts w:ascii="Arial" w:hAnsi="Arial" w:cs="Arial"/>
          <w:sz w:val="22"/>
          <w:szCs w:val="22"/>
        </w:rPr>
      </w:pPr>
    </w:p>
    <w:p w14:paraId="1B3CEC45" w14:textId="77777777" w:rsidR="00AA1F67" w:rsidRPr="000B4E4C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Důvody podpory stanoveného účelu:</w:t>
      </w:r>
    </w:p>
    <w:p w14:paraId="0B40D468" w14:textId="77777777" w:rsidR="004314ED" w:rsidRPr="00885492" w:rsidRDefault="004314ED" w:rsidP="0043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B4E4C">
        <w:rPr>
          <w:rFonts w:ascii="Arial" w:hAnsi="Arial" w:cs="Arial"/>
          <w:sz w:val="22"/>
          <w:szCs w:val="22"/>
        </w:rPr>
        <w:t xml:space="preserve">podpora </w:t>
      </w:r>
      <w:r>
        <w:rPr>
          <w:rFonts w:ascii="Arial" w:hAnsi="Arial" w:cs="Arial"/>
          <w:sz w:val="22"/>
          <w:szCs w:val="22"/>
        </w:rPr>
        <w:t>sérií, jednorázových či dlouhodobě se opakujících sportovních akcí</w:t>
      </w:r>
      <w:r w:rsidR="00885492">
        <w:rPr>
          <w:rFonts w:ascii="Arial" w:hAnsi="Arial" w:cs="Arial"/>
          <w:sz w:val="22"/>
          <w:szCs w:val="22"/>
        </w:rPr>
        <w:t xml:space="preserve">. </w:t>
      </w:r>
      <w:r w:rsidRPr="00885492">
        <w:rPr>
          <w:rFonts w:ascii="Arial" w:hAnsi="Arial" w:cs="Arial"/>
          <w:sz w:val="22"/>
          <w:szCs w:val="22"/>
        </w:rPr>
        <w:t>Sportovní akcí se rozumí</w:t>
      </w:r>
      <w:r w:rsidR="0003032B" w:rsidRPr="00885492">
        <w:rPr>
          <w:rFonts w:ascii="Arial" w:hAnsi="Arial" w:cs="Arial"/>
          <w:sz w:val="22"/>
          <w:szCs w:val="22"/>
        </w:rPr>
        <w:t xml:space="preserve"> zážitková akce orientovaná na účastníky (vlastní aktivní účast zejména registrovaných sportovců) nebo orientovaná na diváky</w:t>
      </w:r>
      <w:r w:rsidR="00885492" w:rsidRPr="00885492">
        <w:rPr>
          <w:rFonts w:ascii="Arial" w:hAnsi="Arial" w:cs="Arial"/>
          <w:sz w:val="22"/>
          <w:szCs w:val="22"/>
        </w:rPr>
        <w:t xml:space="preserve"> (</w:t>
      </w:r>
      <w:r w:rsidR="0003032B" w:rsidRPr="00885492">
        <w:rPr>
          <w:rFonts w:ascii="Arial" w:hAnsi="Arial" w:cs="Arial"/>
          <w:sz w:val="22"/>
          <w:szCs w:val="22"/>
        </w:rPr>
        <w:t>pasivní</w:t>
      </w:r>
      <w:r w:rsidR="00885492" w:rsidRPr="00885492">
        <w:rPr>
          <w:rFonts w:ascii="Arial" w:hAnsi="Arial" w:cs="Arial"/>
          <w:sz w:val="22"/>
          <w:szCs w:val="22"/>
        </w:rPr>
        <w:t xml:space="preserve"> </w:t>
      </w:r>
      <w:r w:rsidR="0003032B" w:rsidRPr="00885492">
        <w:rPr>
          <w:rFonts w:ascii="Arial" w:hAnsi="Arial" w:cs="Arial"/>
          <w:sz w:val="22"/>
          <w:szCs w:val="22"/>
        </w:rPr>
        <w:t>zhlédnutí jakéhokoliv sportu či sportovní akce, závodu</w:t>
      </w:r>
      <w:r w:rsidR="00885492" w:rsidRPr="00885492">
        <w:rPr>
          <w:rFonts w:ascii="Arial" w:hAnsi="Arial" w:cs="Arial"/>
          <w:sz w:val="22"/>
          <w:szCs w:val="22"/>
        </w:rPr>
        <w:t xml:space="preserve">); akce se musí konat </w:t>
      </w:r>
      <w:r w:rsidR="0003032B" w:rsidRPr="00885492">
        <w:rPr>
          <w:rFonts w:ascii="Arial" w:hAnsi="Arial" w:cs="Arial"/>
          <w:sz w:val="22"/>
          <w:szCs w:val="22"/>
        </w:rPr>
        <w:t>na území města</w:t>
      </w:r>
      <w:r w:rsidRPr="00885492">
        <w:rPr>
          <w:rFonts w:ascii="Arial" w:hAnsi="Arial" w:cs="Arial"/>
          <w:sz w:val="22"/>
          <w:szCs w:val="22"/>
        </w:rPr>
        <w:t xml:space="preserve"> </w:t>
      </w:r>
      <w:r w:rsidR="00885492" w:rsidRPr="00885492">
        <w:rPr>
          <w:rFonts w:ascii="Arial" w:hAnsi="Arial" w:cs="Arial"/>
          <w:sz w:val="22"/>
          <w:szCs w:val="22"/>
        </w:rPr>
        <w:t xml:space="preserve">a </w:t>
      </w:r>
      <w:r w:rsidRPr="00885492">
        <w:rPr>
          <w:rFonts w:ascii="Arial" w:hAnsi="Arial" w:cs="Arial"/>
          <w:sz w:val="22"/>
          <w:szCs w:val="22"/>
        </w:rPr>
        <w:t>je možné</w:t>
      </w:r>
      <w:r w:rsidR="00885492" w:rsidRPr="00885492">
        <w:rPr>
          <w:rFonts w:ascii="Arial" w:hAnsi="Arial" w:cs="Arial"/>
          <w:sz w:val="22"/>
          <w:szCs w:val="22"/>
        </w:rPr>
        <w:t xml:space="preserve"> ji</w:t>
      </w:r>
      <w:r w:rsidRPr="00885492">
        <w:rPr>
          <w:rFonts w:ascii="Arial" w:hAnsi="Arial" w:cs="Arial"/>
          <w:sz w:val="22"/>
          <w:szCs w:val="22"/>
        </w:rPr>
        <w:t xml:space="preserve"> doplnit hudební produkcí </w:t>
      </w:r>
    </w:p>
    <w:p w14:paraId="51215C3E" w14:textId="77777777" w:rsidR="00083485" w:rsidRDefault="004314ED" w:rsidP="004E47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54FF7" w:rsidRPr="00776EB4">
        <w:rPr>
          <w:rFonts w:ascii="Arial" w:hAnsi="Arial" w:cs="Arial"/>
          <w:sz w:val="22"/>
          <w:szCs w:val="22"/>
        </w:rPr>
        <w:t xml:space="preserve">podpora </w:t>
      </w:r>
      <w:r w:rsidR="00083485" w:rsidRPr="00F01323">
        <w:rPr>
          <w:rFonts w:ascii="Arial" w:hAnsi="Arial" w:cs="Arial"/>
          <w:sz w:val="22"/>
          <w:szCs w:val="22"/>
        </w:rPr>
        <w:t xml:space="preserve">subjektů realizujících </w:t>
      </w:r>
      <w:r w:rsidR="00052396">
        <w:rPr>
          <w:rFonts w:ascii="Arial" w:hAnsi="Arial" w:cs="Arial"/>
          <w:sz w:val="22"/>
          <w:szCs w:val="22"/>
        </w:rPr>
        <w:t xml:space="preserve">nekomerční </w:t>
      </w:r>
      <w:r w:rsidR="00776EB4" w:rsidRPr="00F01323">
        <w:rPr>
          <w:rFonts w:ascii="Arial" w:hAnsi="Arial" w:cs="Arial"/>
          <w:sz w:val="22"/>
          <w:szCs w:val="22"/>
        </w:rPr>
        <w:t>volnočasové</w:t>
      </w:r>
      <w:r w:rsidR="00083485" w:rsidRPr="00F01323">
        <w:rPr>
          <w:rFonts w:ascii="Arial" w:hAnsi="Arial" w:cs="Arial"/>
          <w:sz w:val="22"/>
          <w:szCs w:val="22"/>
        </w:rPr>
        <w:t xml:space="preserve"> aktivity jako součást podpory</w:t>
      </w:r>
      <w:r w:rsidR="00F01323">
        <w:rPr>
          <w:rFonts w:ascii="Arial" w:hAnsi="Arial" w:cs="Arial"/>
          <w:sz w:val="22"/>
          <w:szCs w:val="22"/>
        </w:rPr>
        <w:t xml:space="preserve"> veřejně prospěšných</w:t>
      </w:r>
      <w:r w:rsidR="00083485" w:rsidRPr="00776EB4">
        <w:rPr>
          <w:rFonts w:ascii="Arial" w:hAnsi="Arial" w:cs="Arial"/>
          <w:color w:val="FF0000"/>
          <w:sz w:val="22"/>
          <w:szCs w:val="22"/>
        </w:rPr>
        <w:t xml:space="preserve"> </w:t>
      </w:r>
      <w:r w:rsidR="00083485" w:rsidRPr="00F01323">
        <w:rPr>
          <w:rFonts w:ascii="Arial" w:hAnsi="Arial" w:cs="Arial"/>
          <w:sz w:val="22"/>
          <w:szCs w:val="22"/>
        </w:rPr>
        <w:t>aktivit občanů</w:t>
      </w:r>
      <w:r w:rsidR="00052396">
        <w:rPr>
          <w:rFonts w:ascii="Arial" w:hAnsi="Arial" w:cs="Arial"/>
          <w:sz w:val="22"/>
          <w:szCs w:val="22"/>
        </w:rPr>
        <w:t>; podpora projektů, které zásadním způsobem rozšiřují nebo podporují oživení veřejného prostoru města nebo napomáhají udržitelnosti a kontinuity tradičních aktivit;</w:t>
      </w:r>
      <w:r w:rsidR="004A2430">
        <w:rPr>
          <w:rFonts w:ascii="Arial" w:hAnsi="Arial" w:cs="Arial"/>
          <w:sz w:val="22"/>
          <w:szCs w:val="22"/>
        </w:rPr>
        <w:t xml:space="preserve"> podpora projektů posilujících pocit sounáležitosti a zájem o dění ve městě a vědomí, že toto dění lze ovlivňovat;</w:t>
      </w:r>
      <w:r w:rsidR="00083485" w:rsidRPr="00F01323">
        <w:rPr>
          <w:rFonts w:ascii="Arial" w:hAnsi="Arial" w:cs="Arial"/>
          <w:sz w:val="22"/>
          <w:szCs w:val="22"/>
        </w:rPr>
        <w:t xml:space="preserve"> podpora propagace města Šternberka</w:t>
      </w:r>
      <w:r w:rsidR="0003032B">
        <w:rPr>
          <w:rFonts w:ascii="Arial" w:hAnsi="Arial" w:cs="Arial"/>
          <w:sz w:val="22"/>
          <w:szCs w:val="22"/>
        </w:rPr>
        <w:t>.</w:t>
      </w:r>
    </w:p>
    <w:p w14:paraId="07DC94C9" w14:textId="77777777" w:rsidR="0063115B" w:rsidRPr="00F01323" w:rsidRDefault="0063115B" w:rsidP="004E476E">
      <w:pPr>
        <w:jc w:val="both"/>
        <w:rPr>
          <w:rFonts w:ascii="Arial" w:hAnsi="Arial" w:cs="Arial"/>
          <w:sz w:val="22"/>
          <w:szCs w:val="22"/>
        </w:rPr>
      </w:pPr>
    </w:p>
    <w:p w14:paraId="4933F671" w14:textId="233CD0E1" w:rsidR="005831D9" w:rsidRDefault="00AA1F67" w:rsidP="00076EC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Celkový objem peněžních prostředků </w:t>
      </w:r>
      <w:r w:rsidR="005831D9" w:rsidRPr="000B4E4C">
        <w:rPr>
          <w:rFonts w:ascii="Arial" w:hAnsi="Arial" w:cs="Arial"/>
          <w:sz w:val="22"/>
          <w:szCs w:val="22"/>
        </w:rPr>
        <w:t>na podporu stanoveného účelu činí</w:t>
      </w:r>
      <w:r w:rsidR="0063115B">
        <w:rPr>
          <w:rFonts w:ascii="Arial" w:hAnsi="Arial" w:cs="Arial"/>
          <w:sz w:val="22"/>
          <w:szCs w:val="22"/>
        </w:rPr>
        <w:t xml:space="preserve"> </w:t>
      </w:r>
      <w:r w:rsidR="000424EA">
        <w:rPr>
          <w:rFonts w:ascii="Arial" w:hAnsi="Arial" w:cs="Arial"/>
          <w:sz w:val="22"/>
          <w:szCs w:val="22"/>
        </w:rPr>
        <w:t>300.000</w:t>
      </w:r>
      <w:r w:rsidR="00BF5503">
        <w:rPr>
          <w:rFonts w:ascii="Arial" w:hAnsi="Arial" w:cs="Arial"/>
          <w:sz w:val="22"/>
          <w:szCs w:val="22"/>
        </w:rPr>
        <w:t xml:space="preserve"> </w:t>
      </w:r>
      <w:r w:rsidR="0063115B">
        <w:rPr>
          <w:rFonts w:ascii="Arial" w:hAnsi="Arial" w:cs="Arial"/>
          <w:sz w:val="22"/>
          <w:szCs w:val="22"/>
        </w:rPr>
        <w:t>Kč</w:t>
      </w:r>
      <w:r w:rsidR="00E71EC2">
        <w:rPr>
          <w:rFonts w:ascii="Arial" w:hAnsi="Arial" w:cs="Arial"/>
          <w:sz w:val="22"/>
          <w:szCs w:val="22"/>
        </w:rPr>
        <w:t xml:space="preserve"> </w:t>
      </w:r>
      <w:r w:rsidR="005831D9" w:rsidRPr="000B4E4C">
        <w:rPr>
          <w:rFonts w:ascii="Arial" w:hAnsi="Arial" w:cs="Arial"/>
          <w:sz w:val="22"/>
          <w:szCs w:val="22"/>
        </w:rPr>
        <w:t>a je limitován objemem finančních prostředků, který je vyčleněn na stanovený účel ve schváleném rozpočtu města Šternberka na daný rok.</w:t>
      </w:r>
    </w:p>
    <w:p w14:paraId="2D576C69" w14:textId="77777777" w:rsidR="00076EC7" w:rsidRPr="004059E8" w:rsidRDefault="00076EC7" w:rsidP="00076EC7">
      <w:pPr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</w:t>
      </w:r>
      <w:r w:rsidRPr="004059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otaci lze požadovat nejvýše do </w:t>
      </w:r>
      <w:proofErr w:type="gramStart"/>
      <w:r w:rsidRPr="000424E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90%</w:t>
      </w:r>
      <w:proofErr w:type="gramEnd"/>
      <w:r w:rsidRPr="004059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4059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předpokládaných celkových výdajů žadatele na daný účel, který je předmětem žádosti. Příjemce dotace pak musí ve vyúčtování prokázat min. </w:t>
      </w:r>
      <w:proofErr w:type="gramStart"/>
      <w:r w:rsidRPr="000424E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10%</w:t>
      </w:r>
      <w:proofErr w:type="gramEnd"/>
      <w:r w:rsidRPr="004059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výdajů na daný účel z vlastních/jiných zdrojů (povinné spolufinancování).</w:t>
      </w:r>
    </w:p>
    <w:p w14:paraId="42FD54CB" w14:textId="77777777" w:rsidR="00076EC7" w:rsidRPr="004059E8" w:rsidRDefault="00076EC7" w:rsidP="004E476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4059E8" w14:paraId="0A595296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42AD3865" w14:textId="77777777" w:rsidR="002031E2" w:rsidRPr="004059E8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59E8">
              <w:rPr>
                <w:rFonts w:ascii="Arial" w:hAnsi="Arial" w:cs="Arial"/>
                <w:b/>
                <w:sz w:val="28"/>
                <w:szCs w:val="28"/>
              </w:rPr>
              <w:t>Okruh způsobilých žadatelů</w:t>
            </w:r>
          </w:p>
        </w:tc>
      </w:tr>
    </w:tbl>
    <w:p w14:paraId="1FC1FA71" w14:textId="77777777" w:rsidR="002031E2" w:rsidRPr="004059E8" w:rsidRDefault="002031E2"/>
    <w:p w14:paraId="6FB1927F" w14:textId="77777777" w:rsidR="00056737" w:rsidRPr="004059E8" w:rsidRDefault="00056737" w:rsidP="00056737">
      <w:pPr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Ž</w:t>
      </w:r>
      <w:r w:rsidR="00AA1F67" w:rsidRPr="004059E8">
        <w:rPr>
          <w:rFonts w:ascii="Arial" w:hAnsi="Arial" w:cs="Arial"/>
          <w:sz w:val="22"/>
          <w:szCs w:val="22"/>
        </w:rPr>
        <w:t>adatel</w:t>
      </w:r>
      <w:r w:rsidRPr="004059E8">
        <w:rPr>
          <w:rFonts w:ascii="Arial" w:hAnsi="Arial" w:cs="Arial"/>
          <w:sz w:val="22"/>
          <w:szCs w:val="22"/>
        </w:rPr>
        <w:t>em může být pouze fyzická nebo právnická osoba s trvalým pobytem či s</w:t>
      </w:r>
      <w:r w:rsidR="00D47861" w:rsidRPr="004059E8">
        <w:rPr>
          <w:rFonts w:ascii="Arial" w:hAnsi="Arial" w:cs="Arial"/>
          <w:sz w:val="22"/>
          <w:szCs w:val="22"/>
        </w:rPr>
        <w:t xml:space="preserve">ídlem na území města Šternberka a/nebo vyvíjející činnost na území města Šternberka. </w:t>
      </w:r>
    </w:p>
    <w:p w14:paraId="2E360B16" w14:textId="77777777" w:rsidR="00D47861" w:rsidRPr="004059E8" w:rsidRDefault="00D47861" w:rsidP="00056737">
      <w:pPr>
        <w:jc w:val="both"/>
        <w:rPr>
          <w:rFonts w:ascii="Arial" w:hAnsi="Arial" w:cs="Arial"/>
          <w:sz w:val="22"/>
          <w:szCs w:val="22"/>
        </w:rPr>
      </w:pPr>
    </w:p>
    <w:p w14:paraId="6A541971" w14:textId="77777777" w:rsidR="005831D9" w:rsidRPr="004059E8" w:rsidRDefault="005831D9" w:rsidP="00056737">
      <w:pPr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Dotace nemůže být poskytnuta:</w:t>
      </w:r>
    </w:p>
    <w:p w14:paraId="3760E4B6" w14:textId="77777777" w:rsidR="005831D9" w:rsidRPr="004059E8" w:rsidRDefault="005831D9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 xml:space="preserve">fyzickým </w:t>
      </w:r>
      <w:r w:rsidR="00B74DAD" w:rsidRPr="004059E8">
        <w:rPr>
          <w:rFonts w:ascii="Arial" w:hAnsi="Arial" w:cs="Arial"/>
          <w:sz w:val="22"/>
          <w:szCs w:val="22"/>
        </w:rPr>
        <w:t>a</w:t>
      </w:r>
      <w:r w:rsidRPr="004059E8">
        <w:rPr>
          <w:rFonts w:ascii="Arial" w:hAnsi="Arial" w:cs="Arial"/>
          <w:sz w:val="22"/>
          <w:szCs w:val="22"/>
        </w:rPr>
        <w:t xml:space="preserve"> právnickým osobám, na jejichž majetek je prohlášen konkurs nebo</w:t>
      </w:r>
      <w:r w:rsidR="00B74DAD" w:rsidRPr="004059E8">
        <w:rPr>
          <w:rFonts w:ascii="Arial" w:hAnsi="Arial" w:cs="Arial"/>
          <w:sz w:val="22"/>
          <w:szCs w:val="22"/>
        </w:rPr>
        <w:t xml:space="preserve"> proti kterému bylo zahájeno konkursní nebo vyrovnávací řízení nebo majícím v evidenci daní zachyceny daňové nedoplatky</w:t>
      </w:r>
      <w:r w:rsidR="008A0CA3" w:rsidRPr="004059E8">
        <w:rPr>
          <w:rFonts w:ascii="Arial" w:hAnsi="Arial" w:cs="Arial"/>
          <w:sz w:val="22"/>
          <w:szCs w:val="22"/>
        </w:rPr>
        <w:t>;</w:t>
      </w:r>
    </w:p>
    <w:p w14:paraId="1B32D9BC" w14:textId="77777777" w:rsidR="00B74DAD" w:rsidRPr="004059E8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politickým stranám a hnutím</w:t>
      </w:r>
      <w:r w:rsidR="008A0CA3" w:rsidRPr="004059E8">
        <w:rPr>
          <w:rFonts w:ascii="Arial" w:hAnsi="Arial" w:cs="Arial"/>
          <w:sz w:val="22"/>
          <w:szCs w:val="22"/>
        </w:rPr>
        <w:t>;</w:t>
      </w:r>
    </w:p>
    <w:p w14:paraId="08D7BCF2" w14:textId="77777777" w:rsidR="00B74DAD" w:rsidRPr="004059E8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právnickým osobám, jejichž zřizovatelem je město Šternberk</w:t>
      </w:r>
      <w:r w:rsidR="008A0CA3" w:rsidRPr="004059E8">
        <w:rPr>
          <w:rFonts w:ascii="Arial" w:hAnsi="Arial" w:cs="Arial"/>
          <w:sz w:val="22"/>
          <w:szCs w:val="22"/>
        </w:rPr>
        <w:t>;</w:t>
      </w:r>
    </w:p>
    <w:p w14:paraId="57783381" w14:textId="77777777" w:rsidR="00083485" w:rsidRPr="004059E8" w:rsidRDefault="00B74DAD" w:rsidP="00AE0290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fyzickým a právnickým osobám majícím dluh či jiné nesplněné závazky vůči městu Šternberk a jím zřizovaným nebo zakládaným organizacím</w:t>
      </w:r>
      <w:r w:rsidR="008A0CA3" w:rsidRPr="004059E8">
        <w:rPr>
          <w:rFonts w:ascii="Arial" w:hAnsi="Arial" w:cs="Arial"/>
          <w:sz w:val="22"/>
          <w:szCs w:val="22"/>
        </w:rPr>
        <w:t>.</w:t>
      </w:r>
    </w:p>
    <w:p w14:paraId="395CC06B" w14:textId="77777777" w:rsidR="006E4051" w:rsidRPr="004059E8" w:rsidRDefault="006E4051" w:rsidP="006E405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4059E8" w14:paraId="00664192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364E9992" w14:textId="77777777" w:rsidR="002031E2" w:rsidRPr="004059E8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59E8">
              <w:rPr>
                <w:rFonts w:ascii="Arial" w:hAnsi="Arial" w:cs="Arial"/>
                <w:b/>
                <w:sz w:val="28"/>
                <w:szCs w:val="28"/>
              </w:rPr>
              <w:t>Lhůty</w:t>
            </w:r>
            <w:r w:rsidR="000B4E4C" w:rsidRPr="004059E8">
              <w:rPr>
                <w:rFonts w:ascii="Arial" w:hAnsi="Arial" w:cs="Arial"/>
                <w:b/>
                <w:sz w:val="28"/>
                <w:szCs w:val="28"/>
              </w:rPr>
              <w:t xml:space="preserve"> a způsob podání žádosti</w:t>
            </w:r>
          </w:p>
        </w:tc>
      </w:tr>
    </w:tbl>
    <w:p w14:paraId="6DEE351C" w14:textId="77777777" w:rsidR="007247FD" w:rsidRPr="004059E8" w:rsidRDefault="007247FD" w:rsidP="00AA1F67">
      <w:pPr>
        <w:jc w:val="both"/>
        <w:rPr>
          <w:rFonts w:ascii="Arial" w:hAnsi="Arial" w:cs="Arial"/>
          <w:sz w:val="22"/>
          <w:szCs w:val="22"/>
        </w:rPr>
      </w:pPr>
    </w:p>
    <w:p w14:paraId="7993C812" w14:textId="52CC4982" w:rsidR="00550623" w:rsidRPr="004059E8" w:rsidRDefault="00550623" w:rsidP="00590A1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 xml:space="preserve">Dotační program je zveřejněn od </w:t>
      </w:r>
      <w:r w:rsidR="00590A10">
        <w:rPr>
          <w:rFonts w:ascii="Arial" w:hAnsi="Arial" w:cs="Arial"/>
          <w:sz w:val="22"/>
          <w:szCs w:val="22"/>
        </w:rPr>
        <w:t>08.11.2021.</w:t>
      </w:r>
    </w:p>
    <w:p w14:paraId="356F4FF4" w14:textId="657FD1C2" w:rsidR="00550623" w:rsidRPr="004059E8" w:rsidRDefault="00550623" w:rsidP="00590A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059E8">
        <w:rPr>
          <w:rFonts w:ascii="Arial" w:hAnsi="Arial" w:cs="Arial"/>
          <w:b/>
          <w:sz w:val="22"/>
          <w:szCs w:val="22"/>
        </w:rPr>
        <w:t xml:space="preserve">Lhůta pro podávání žádostí o dotace je od </w:t>
      </w:r>
      <w:r w:rsidR="00590A10">
        <w:rPr>
          <w:rFonts w:ascii="Arial" w:hAnsi="Arial" w:cs="Arial"/>
          <w:b/>
          <w:sz w:val="22"/>
          <w:szCs w:val="22"/>
        </w:rPr>
        <w:t>20.12.2021</w:t>
      </w:r>
      <w:r w:rsidRPr="004059E8">
        <w:rPr>
          <w:rFonts w:ascii="Arial" w:hAnsi="Arial" w:cs="Arial"/>
          <w:b/>
          <w:sz w:val="22"/>
          <w:szCs w:val="22"/>
        </w:rPr>
        <w:t xml:space="preserve"> do </w:t>
      </w:r>
      <w:r w:rsidR="00590A10">
        <w:rPr>
          <w:rFonts w:ascii="Arial" w:hAnsi="Arial" w:cs="Arial"/>
          <w:b/>
          <w:sz w:val="22"/>
          <w:szCs w:val="22"/>
        </w:rPr>
        <w:t>10.01.2022</w:t>
      </w:r>
      <w:r w:rsidRPr="004059E8">
        <w:rPr>
          <w:rFonts w:ascii="Arial" w:hAnsi="Arial" w:cs="Arial"/>
          <w:b/>
          <w:sz w:val="22"/>
          <w:szCs w:val="22"/>
        </w:rPr>
        <w:t xml:space="preserve"> do 12:00 hodin.</w:t>
      </w:r>
    </w:p>
    <w:p w14:paraId="475D6EA6" w14:textId="77777777" w:rsidR="006F0FAC" w:rsidRPr="004059E8" w:rsidRDefault="006F0FAC" w:rsidP="006F0F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  <w:r w:rsidRPr="004059E8">
        <w:rPr>
          <w:rFonts w:ascii="Arial" w:hAnsi="Arial" w:cs="Arial"/>
          <w:sz w:val="22"/>
          <w:szCs w:val="22"/>
        </w:rPr>
        <w:t xml:space="preserve"> </w:t>
      </w:r>
      <w:r w:rsidR="000B4E4C" w:rsidRPr="004059E8">
        <w:rPr>
          <w:rFonts w:ascii="Arial" w:hAnsi="Arial" w:cs="Arial"/>
          <w:sz w:val="22"/>
          <w:szCs w:val="22"/>
        </w:rPr>
        <w:t xml:space="preserve">Žádost lze podat pouze na předepsaném formuláři. </w:t>
      </w:r>
      <w:r w:rsidRPr="004059E8">
        <w:rPr>
          <w:rFonts w:ascii="Arial" w:hAnsi="Arial" w:cs="Arial"/>
          <w:sz w:val="22"/>
          <w:szCs w:val="22"/>
        </w:rPr>
        <w:t xml:space="preserve">Formuláře žádostí jsou k dispozici na oficiálních internetových stránkách města www.sternberk.eu nebo </w:t>
      </w:r>
      <w:r w:rsidR="006E4051" w:rsidRPr="004059E8">
        <w:rPr>
          <w:rFonts w:ascii="Arial" w:hAnsi="Arial" w:cs="Arial"/>
          <w:sz w:val="22"/>
          <w:szCs w:val="22"/>
        </w:rPr>
        <w:t>u administrátora</w:t>
      </w:r>
      <w:r w:rsidRPr="004059E8">
        <w:rPr>
          <w:rFonts w:ascii="Arial" w:hAnsi="Arial" w:cs="Arial"/>
          <w:sz w:val="22"/>
          <w:szCs w:val="22"/>
        </w:rPr>
        <w:t>.</w:t>
      </w:r>
    </w:p>
    <w:p w14:paraId="666AAC8C" w14:textId="77777777" w:rsidR="000A0F54" w:rsidRPr="004059E8" w:rsidRDefault="000A0F54" w:rsidP="00AA1F67">
      <w:pPr>
        <w:jc w:val="both"/>
        <w:rPr>
          <w:rFonts w:ascii="Arial" w:hAnsi="Arial" w:cs="Arial"/>
          <w:sz w:val="22"/>
          <w:szCs w:val="22"/>
        </w:rPr>
      </w:pPr>
    </w:p>
    <w:p w14:paraId="42C2E3F6" w14:textId="77777777" w:rsidR="005C1055" w:rsidRPr="00383A4E" w:rsidRDefault="005C1055" w:rsidP="005C1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3A4E">
        <w:rPr>
          <w:rFonts w:ascii="Arial" w:hAnsi="Arial" w:cs="Arial"/>
          <w:sz w:val="22"/>
          <w:szCs w:val="22"/>
        </w:rPr>
        <w:t>Žádost je třeba podat v listinné podobě, se všemi přílohami uvedenými ve formuláři. Připouští se elektronická verze podání pouze prostřednictvím datové schránky žadatele. Identifikátor datové schránky vyhlašovatele: ud7bzn4</w:t>
      </w:r>
      <w:r>
        <w:rPr>
          <w:rFonts w:ascii="Arial" w:hAnsi="Arial" w:cs="Arial"/>
          <w:sz w:val="22"/>
          <w:szCs w:val="22"/>
        </w:rPr>
        <w:t>.</w:t>
      </w:r>
    </w:p>
    <w:p w14:paraId="49B03CAB" w14:textId="77777777" w:rsidR="005C1055" w:rsidRPr="00383A4E" w:rsidRDefault="005C1055" w:rsidP="005C1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Rozhodující pro doručení žádosti o dotaci je okamžik převzetí tištěného provedení žádosti </w:t>
      </w:r>
      <w:r w:rsidRPr="00383A4E">
        <w:rPr>
          <w:rFonts w:ascii="Arial" w:hAnsi="Arial" w:cs="Arial"/>
          <w:sz w:val="22"/>
          <w:szCs w:val="22"/>
        </w:rPr>
        <w:t xml:space="preserve">vyhlašovatelem, nikoli předání k poštovnímu doručení, </w:t>
      </w:r>
      <w:r>
        <w:rPr>
          <w:rFonts w:ascii="Arial" w:hAnsi="Arial" w:cs="Arial"/>
          <w:sz w:val="22"/>
          <w:szCs w:val="22"/>
        </w:rPr>
        <w:t>nebo</w:t>
      </w:r>
      <w:r w:rsidRPr="00383A4E">
        <w:rPr>
          <w:rFonts w:ascii="Arial" w:hAnsi="Arial" w:cs="Arial"/>
          <w:sz w:val="22"/>
          <w:szCs w:val="22"/>
        </w:rPr>
        <w:t xml:space="preserve"> </w:t>
      </w:r>
      <w:r w:rsidRPr="00383A4E">
        <w:rPr>
          <w:rFonts w:ascii="Arial" w:hAnsi="Arial" w:cs="Arial"/>
          <w:sz w:val="22"/>
          <w:szCs w:val="22"/>
          <w:shd w:val="clear" w:color="auto" w:fill="FDFDFD"/>
        </w:rPr>
        <w:t>okamžik dodání do datové schránky vyhlašovatele.</w:t>
      </w:r>
      <w:r w:rsidRPr="00383A4E">
        <w:rPr>
          <w:rFonts w:ascii="Arial" w:hAnsi="Arial" w:cs="Arial"/>
          <w:sz w:val="22"/>
          <w:szCs w:val="22"/>
        </w:rPr>
        <w:t xml:space="preserve"> Na žádost podanou po stanovené lhůtě nebude brán zřetel.</w:t>
      </w:r>
    </w:p>
    <w:p w14:paraId="7B449E31" w14:textId="77777777" w:rsidR="00895D57" w:rsidRPr="004059E8" w:rsidRDefault="00895D57" w:rsidP="00AA1F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4059E8" w14:paraId="46B42464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1275A7D4" w14:textId="77777777" w:rsidR="002031E2" w:rsidRPr="004059E8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59E8">
              <w:rPr>
                <w:rFonts w:ascii="Arial" w:hAnsi="Arial" w:cs="Arial"/>
                <w:b/>
                <w:sz w:val="28"/>
                <w:szCs w:val="28"/>
              </w:rPr>
              <w:t>Kritéria hodnocení žádostí a stanovení výše dotace</w:t>
            </w:r>
          </w:p>
        </w:tc>
      </w:tr>
    </w:tbl>
    <w:p w14:paraId="07E4E8E6" w14:textId="77777777" w:rsidR="003411B3" w:rsidRPr="004059E8" w:rsidRDefault="003411B3" w:rsidP="00056737">
      <w:pPr>
        <w:pStyle w:val="Default"/>
        <w:rPr>
          <w:rFonts w:ascii="Arial" w:hAnsi="Arial" w:cs="Arial"/>
          <w:sz w:val="22"/>
          <w:szCs w:val="22"/>
        </w:rPr>
      </w:pPr>
    </w:p>
    <w:p w14:paraId="73C7677D" w14:textId="77777777" w:rsidR="00F137E8" w:rsidRPr="004059E8" w:rsidRDefault="000B4E4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 xml:space="preserve">Administrátor shromáždí přijaté žádosti o dotace, posoudí jejich formální náležitosti a jejich soulad s podmínkami dotačního programu a žádosti splňující formální náležitosti předá k hodnocení </w:t>
      </w:r>
      <w:r w:rsidR="0008603E" w:rsidRPr="004059E8">
        <w:rPr>
          <w:rFonts w:ascii="Arial" w:hAnsi="Arial" w:cs="Arial"/>
          <w:sz w:val="22"/>
          <w:szCs w:val="22"/>
        </w:rPr>
        <w:t>věcně příslušné komisi</w:t>
      </w:r>
      <w:r w:rsidRPr="004059E8">
        <w:rPr>
          <w:rFonts w:ascii="Arial" w:hAnsi="Arial" w:cs="Arial"/>
          <w:sz w:val="22"/>
          <w:szCs w:val="22"/>
        </w:rPr>
        <w:t>.</w:t>
      </w:r>
      <w:r w:rsidR="00B86263" w:rsidRPr="004059E8">
        <w:rPr>
          <w:rFonts w:ascii="Arial" w:hAnsi="Arial" w:cs="Arial"/>
          <w:sz w:val="22"/>
          <w:szCs w:val="22"/>
        </w:rPr>
        <w:t xml:space="preserve"> </w:t>
      </w:r>
      <w:r w:rsidR="00054088" w:rsidRPr="004059E8">
        <w:rPr>
          <w:rFonts w:ascii="Arial" w:hAnsi="Arial" w:cs="Arial"/>
          <w:sz w:val="22"/>
          <w:szCs w:val="22"/>
        </w:rPr>
        <w:t xml:space="preserve">V případě, že žádost bude neúplná, vyzve administrátor e-mailem na adresu uvedenou žadatelem v žádosti žadatele o doplnění; pro doplnění je stanovena lhůta 5 pracovních dní. Pokud žadatel na tuto výzvu nedoplní žádost, bude z dalšího hodnocení vyřazena. </w:t>
      </w:r>
      <w:r w:rsidR="00B86263" w:rsidRPr="004059E8">
        <w:rPr>
          <w:rFonts w:ascii="Arial" w:hAnsi="Arial" w:cs="Arial"/>
          <w:sz w:val="22"/>
          <w:szCs w:val="22"/>
        </w:rPr>
        <w:t>Podmínkou pro postoupení žádosti k hodnocení specifických kritérií je splnění všech bodů administrativního souladu:</w:t>
      </w:r>
    </w:p>
    <w:p w14:paraId="43DA1F7F" w14:textId="77777777" w:rsidR="00895D57" w:rsidRPr="004059E8" w:rsidRDefault="00895D57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1133"/>
        <w:gridCol w:w="993"/>
      </w:tblGrid>
      <w:tr w:rsidR="00881EEC" w:rsidRPr="004059E8" w14:paraId="2F6713D2" w14:textId="77777777" w:rsidTr="00881EEC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F712FF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administrativní soulad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B88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podmínky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168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hodnocení</w:t>
            </w:r>
          </w:p>
        </w:tc>
      </w:tr>
      <w:tr w:rsidR="00881EEC" w:rsidRPr="004059E8" w14:paraId="1B7E862D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C3E" w14:textId="77777777" w:rsidR="00881EEC" w:rsidRPr="004059E8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0EE8" w14:textId="77777777" w:rsidR="00881EEC" w:rsidRPr="004059E8" w:rsidRDefault="00881EEC" w:rsidP="00881EEC">
            <w:pPr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žádost je zpracovaná na předepsaném formuláři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F97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3E5F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4059E8" w14:paraId="35537005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20A5" w14:textId="77777777" w:rsidR="00881EEC" w:rsidRPr="004059E8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1E7" w14:textId="77777777" w:rsidR="00881EEC" w:rsidRPr="004059E8" w:rsidRDefault="00881EEC" w:rsidP="00881EEC">
            <w:pPr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k žádosti jsou přiloženy všechny požadované přílohy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D58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24F5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4059E8" w14:paraId="1E95DDED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3F51" w14:textId="77777777" w:rsidR="00881EEC" w:rsidRPr="004059E8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EC8D" w14:textId="77777777" w:rsidR="00881EEC" w:rsidRPr="004059E8" w:rsidRDefault="00881EEC" w:rsidP="00881EEC">
            <w:pPr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obsah žádosti je v souladu s vyhlášeným dotačním programem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CD2B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AC7C" w14:textId="77777777" w:rsidR="00881EEC" w:rsidRPr="004059E8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</w:tbl>
    <w:p w14:paraId="766F8E82" w14:textId="77777777" w:rsidR="00881EEC" w:rsidRPr="004059E8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58E1F0" w14:textId="77777777" w:rsidR="002900CE" w:rsidRPr="004059E8" w:rsidRDefault="002900CE" w:rsidP="002900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E09F09" w14:textId="77777777" w:rsidR="002900CE" w:rsidRPr="004059E8" w:rsidRDefault="002900CE" w:rsidP="002900CE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49327479"/>
      <w:r w:rsidRPr="004059E8">
        <w:rPr>
          <w:rFonts w:ascii="Arial" w:hAnsi="Arial" w:cs="Arial"/>
          <w:sz w:val="22"/>
          <w:szCs w:val="22"/>
        </w:rPr>
        <w:t xml:space="preserve">Žádosti o dotace splňující administrativní soulad budou hodnoceny dle specifických kritérií. Administrátor provede hodnocení podle kritérií uvedených v části A </w:t>
      </w:r>
      <w:proofErr w:type="spellStart"/>
      <w:r w:rsidRPr="004059E8">
        <w:rPr>
          <w:rFonts w:ascii="Arial" w:hAnsi="Arial" w:cs="Arial"/>
          <w:sz w:val="22"/>
          <w:szCs w:val="22"/>
        </w:rPr>
        <w:t>a</w:t>
      </w:r>
      <w:proofErr w:type="spellEnd"/>
      <w:r w:rsidRPr="004059E8">
        <w:rPr>
          <w:rFonts w:ascii="Arial" w:hAnsi="Arial" w:cs="Arial"/>
          <w:sz w:val="22"/>
          <w:szCs w:val="22"/>
        </w:rPr>
        <w:t xml:space="preserve"> předá k hodnocení věcně příslušné komisi, která provede hodnocení podle kritérií v části B. Rada města Šternberka provede hodnocení podle kritérií v části C.</w:t>
      </w:r>
    </w:p>
    <w:bookmarkEnd w:id="0"/>
    <w:p w14:paraId="0241F703" w14:textId="0D434B99" w:rsidR="002900CE" w:rsidRPr="004059E8" w:rsidRDefault="002900CE" w:rsidP="002900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0549784" w14:textId="77777777" w:rsidR="00227339" w:rsidRPr="004059E8" w:rsidRDefault="00227339" w:rsidP="00227339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538"/>
        <w:gridCol w:w="1220"/>
        <w:gridCol w:w="1140"/>
      </w:tblGrid>
      <w:tr w:rsidR="00227339" w:rsidRPr="004059E8" w14:paraId="5D6B2671" w14:textId="77777777" w:rsidTr="00A127F8">
        <w:trPr>
          <w:trHeight w:val="510"/>
        </w:trPr>
        <w:tc>
          <w:tcPr>
            <w:tcW w:w="665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845720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hodnotící kritérium – část A (administrátor)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B335C0A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C5ED70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4059E8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4059E8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227339" w:rsidRPr="004059E8" w14:paraId="49F5CA66" w14:textId="77777777" w:rsidTr="00A127F8">
        <w:trPr>
          <w:trHeight w:val="599"/>
        </w:trPr>
        <w:tc>
          <w:tcPr>
            <w:tcW w:w="1120" w:type="dxa"/>
            <w:vMerge w:val="restart"/>
            <w:textDirection w:val="btLr"/>
            <w:vAlign w:val="center"/>
          </w:tcPr>
          <w:p w14:paraId="72AE983C" w14:textId="77777777" w:rsidR="00227339" w:rsidRPr="004059E8" w:rsidRDefault="00227339" w:rsidP="00A127F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2F13382C" w14:textId="77777777" w:rsidR="00227339" w:rsidRPr="004059E8" w:rsidRDefault="00227339" w:rsidP="00A127F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</w:rPr>
              <w:t>základní kritéria</w:t>
            </w:r>
          </w:p>
        </w:tc>
        <w:tc>
          <w:tcPr>
            <w:tcW w:w="5538" w:type="dxa"/>
            <w:shd w:val="clear" w:color="auto" w:fill="auto"/>
            <w:noWrap/>
            <w:vAlign w:val="center"/>
          </w:tcPr>
          <w:p w14:paraId="0F5ECBED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žadatel vyvíjí činnost ve stanoveném účelu méně než 3 roky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2C1F1B4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 w14:paraId="25625F7B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227339" w:rsidRPr="004059E8" w14:paraId="5102B03E" w14:textId="77777777" w:rsidTr="00227339">
        <w:trPr>
          <w:trHeight w:val="562"/>
        </w:trPr>
        <w:tc>
          <w:tcPr>
            <w:tcW w:w="1120" w:type="dxa"/>
            <w:vMerge/>
            <w:vAlign w:val="center"/>
            <w:hideMark/>
          </w:tcPr>
          <w:p w14:paraId="7562874A" w14:textId="77777777" w:rsidR="00227339" w:rsidRPr="004059E8" w:rsidRDefault="00227339" w:rsidP="00A127F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  <w:hideMark/>
          </w:tcPr>
          <w:p w14:paraId="5FED12B9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žadatel vyvíjí činnost ve stanoveném účelu 3 a více let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4F43254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/>
            <w:vAlign w:val="center"/>
            <w:hideMark/>
          </w:tcPr>
          <w:p w14:paraId="473B824D" w14:textId="77777777" w:rsidR="00227339" w:rsidRPr="004059E8" w:rsidRDefault="00227339" w:rsidP="00A127F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7339" w:rsidRPr="004059E8" w14:paraId="5B6B39D0" w14:textId="77777777" w:rsidTr="00A127F8">
        <w:trPr>
          <w:trHeight w:val="465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6F30266B" w14:textId="77777777" w:rsidR="00227339" w:rsidRPr="004059E8" w:rsidRDefault="00227339" w:rsidP="00A127F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253EC64B" w14:textId="77777777" w:rsidR="00227339" w:rsidRPr="004059E8" w:rsidRDefault="00227339" w:rsidP="00A127F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4059E8">
              <w:rPr>
                <w:rFonts w:ascii="Arial" w:hAnsi="Arial" w:cs="Arial"/>
                <w:b/>
                <w:bCs/>
              </w:rPr>
              <w:t xml:space="preserve">členská </w:t>
            </w:r>
          </w:p>
          <w:p w14:paraId="7449E29E" w14:textId="77777777" w:rsidR="00227339" w:rsidRPr="004059E8" w:rsidRDefault="00227339" w:rsidP="00A127F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</w:rPr>
              <w:t>základna</w:t>
            </w:r>
          </w:p>
          <w:p w14:paraId="5187AA27" w14:textId="77777777" w:rsidR="00227339" w:rsidRPr="004059E8" w:rsidRDefault="00227339" w:rsidP="00A127F8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C978397" w14:textId="77777777" w:rsidR="00227339" w:rsidRPr="004059E8" w:rsidRDefault="00227339" w:rsidP="00A127F8">
            <w:pPr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</w:rPr>
              <w:t>členská základna do 10 členů včetně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3BA0278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0A1825B5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227339" w:rsidRPr="004059E8" w14:paraId="515BFF80" w14:textId="77777777" w:rsidTr="00A127F8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3B95CF15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7D362F64" w14:textId="77777777" w:rsidR="00227339" w:rsidRPr="004059E8" w:rsidRDefault="00227339" w:rsidP="00A127F8">
            <w:pPr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</w:rPr>
              <w:t>členská základna nad 10 členů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22C51C92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/>
            <w:vAlign w:val="center"/>
            <w:hideMark/>
          </w:tcPr>
          <w:p w14:paraId="7EE5CFA6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7339" w:rsidRPr="004059E8" w14:paraId="499026B3" w14:textId="77777777" w:rsidTr="00A127F8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5165B66D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6146723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 xml:space="preserve">podíl dětí a mládeže do 18 let na aktivní členské základně </w:t>
            </w:r>
          </w:p>
          <w:p w14:paraId="17C58701" w14:textId="77777777" w:rsidR="00227339" w:rsidRPr="004059E8" w:rsidRDefault="00227339" w:rsidP="00A127F8">
            <w:pPr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</w:rPr>
              <w:t>do 50 % včetně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0FD8EA5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vAlign w:val="center"/>
            <w:hideMark/>
          </w:tcPr>
          <w:p w14:paraId="0FA1B457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7339" w:rsidRPr="004059E8" w14:paraId="70C49EE1" w14:textId="77777777" w:rsidTr="00A127F8">
        <w:trPr>
          <w:trHeight w:val="450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  <w:hideMark/>
          </w:tcPr>
          <w:p w14:paraId="3A298A9A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6B70D29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 xml:space="preserve">podíl dětí a mládeže do 18 let na aktivní členské základně </w:t>
            </w:r>
          </w:p>
          <w:p w14:paraId="1780C838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50 % a více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28DDC84" w14:textId="77777777" w:rsidR="00227339" w:rsidRPr="004059E8" w:rsidRDefault="00227339" w:rsidP="00A127F8">
            <w:pPr>
              <w:jc w:val="center"/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57519B6E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339" w:rsidRPr="004059E8" w14:paraId="68887D1F" w14:textId="77777777" w:rsidTr="00A127F8">
        <w:trPr>
          <w:trHeight w:val="529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4210085D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9E8">
              <w:rPr>
                <w:rFonts w:ascii="Arial" w:hAnsi="Arial" w:cs="Arial"/>
                <w:b/>
                <w:bCs/>
              </w:rPr>
              <w:lastRenderedPageBreak/>
              <w:t>zaměření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7C1D9D8A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činnost je převážně zaměřena na děti a mládež/seniory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1731BB76" w14:textId="77777777" w:rsidR="00227339" w:rsidRPr="004059E8" w:rsidRDefault="00227339" w:rsidP="00A127F8">
            <w:pPr>
              <w:jc w:val="center"/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69F148F3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9E8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227339" w:rsidRPr="004059E8" w14:paraId="201F688B" w14:textId="77777777" w:rsidTr="00A127F8">
        <w:trPr>
          <w:trHeight w:val="551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</w:tcPr>
          <w:p w14:paraId="57350F36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9957B9C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činnost je převážně zaměřena na dospělé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66B3E636" w14:textId="77777777" w:rsidR="00227339" w:rsidRPr="004059E8" w:rsidRDefault="00227339" w:rsidP="00A127F8">
            <w:pPr>
              <w:jc w:val="center"/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1E939DF4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339" w:rsidRPr="004059E8" w14:paraId="0FD9534D" w14:textId="77777777" w:rsidTr="00A127F8">
        <w:trPr>
          <w:trHeight w:val="559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6FFA5A3C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9E8">
              <w:rPr>
                <w:rFonts w:ascii="Arial" w:hAnsi="Arial" w:cs="Arial"/>
                <w:b/>
                <w:bCs/>
              </w:rPr>
              <w:t>rozpočet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7264A369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 xml:space="preserve">požadovaná dotace do výše </w:t>
            </w:r>
            <w:proofErr w:type="gramStart"/>
            <w:r w:rsidRPr="004059E8">
              <w:rPr>
                <w:rFonts w:ascii="Arial" w:hAnsi="Arial" w:cs="Arial"/>
              </w:rPr>
              <w:t>50%</w:t>
            </w:r>
            <w:proofErr w:type="gramEnd"/>
            <w:r w:rsidRPr="004059E8">
              <w:rPr>
                <w:rFonts w:ascii="Arial" w:hAnsi="Arial" w:cs="Arial"/>
              </w:rPr>
              <w:t xml:space="preserve"> celkových výdajů (včetně)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19DDD77A" w14:textId="77777777" w:rsidR="00227339" w:rsidRPr="004059E8" w:rsidRDefault="00227339" w:rsidP="00A127F8">
            <w:pPr>
              <w:jc w:val="center"/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6EA01F2F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9E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7339" w:rsidRPr="004059E8" w14:paraId="5A4CC234" w14:textId="77777777" w:rsidTr="00A127F8">
        <w:trPr>
          <w:trHeight w:val="553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</w:tcPr>
          <w:p w14:paraId="1F5D62F4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CA9E409" w14:textId="77777777" w:rsidR="00227339" w:rsidRPr="004059E8" w:rsidRDefault="00227339" w:rsidP="00A127F8">
            <w:pPr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 xml:space="preserve">požadovaná dotace ve výši nad </w:t>
            </w:r>
            <w:proofErr w:type="gramStart"/>
            <w:r w:rsidRPr="004059E8">
              <w:rPr>
                <w:rFonts w:ascii="Arial" w:hAnsi="Arial" w:cs="Arial"/>
              </w:rPr>
              <w:t>50%</w:t>
            </w:r>
            <w:proofErr w:type="gramEnd"/>
            <w:r w:rsidRPr="004059E8">
              <w:rPr>
                <w:rFonts w:ascii="Arial" w:hAnsi="Arial" w:cs="Arial"/>
              </w:rPr>
              <w:t xml:space="preserve"> celkových výdajů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7C9E0C5A" w14:textId="77777777" w:rsidR="00227339" w:rsidRPr="004059E8" w:rsidRDefault="00227339" w:rsidP="00A127F8">
            <w:pPr>
              <w:jc w:val="center"/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564CC5CA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339" w:rsidRPr="004059E8" w14:paraId="05DF6562" w14:textId="77777777" w:rsidTr="00A127F8">
        <w:trPr>
          <w:trHeight w:val="450"/>
        </w:trPr>
        <w:tc>
          <w:tcPr>
            <w:tcW w:w="7878" w:type="dxa"/>
            <w:gridSpan w:val="3"/>
            <w:shd w:val="clear" w:color="auto" w:fill="D9D9D9" w:themeFill="background1" w:themeFillShade="D9"/>
            <w:vAlign w:val="center"/>
          </w:tcPr>
          <w:p w14:paraId="4DC32D57" w14:textId="77777777" w:rsidR="00227339" w:rsidRPr="004059E8" w:rsidRDefault="00227339" w:rsidP="00A127F8">
            <w:pPr>
              <w:jc w:val="right"/>
              <w:rPr>
                <w:rFonts w:ascii="Arial" w:hAnsi="Arial" w:cs="Arial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celkový max. počet bodů v části A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</w:tcPr>
          <w:p w14:paraId="53AF4463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664104CA" w14:textId="77777777" w:rsidR="00227339" w:rsidRPr="004059E8" w:rsidRDefault="00227339" w:rsidP="00227339"/>
    <w:p w14:paraId="6761AF51" w14:textId="77777777" w:rsidR="00227339" w:rsidRPr="004059E8" w:rsidRDefault="00227339" w:rsidP="00227339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227339" w:rsidRPr="004059E8" w14:paraId="5A74EA9B" w14:textId="77777777" w:rsidTr="00A127F8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298FB2E2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hodnotící kritérium – část B (komise)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8CE56A1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EDE1FC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4059E8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4059E8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227339" w:rsidRPr="004059E8" w14:paraId="131EB1DE" w14:textId="77777777" w:rsidTr="00A127F8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52591ED7" w14:textId="77777777" w:rsidR="00227339" w:rsidRPr="004059E8" w:rsidRDefault="00227339" w:rsidP="00A127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 xml:space="preserve">prokazatelná spolupráce s místními partnery, vytváření příležitostí pro zapojení občanů města, </w:t>
            </w:r>
            <w:r w:rsidRPr="004059E8">
              <w:rPr>
                <w:rFonts w:ascii="Arial" w:hAnsi="Arial" w:cs="Arial"/>
              </w:rPr>
              <w:t>potřebnost a očekávaný přínos pro město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000F27A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F62FA06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227339" w:rsidRPr="004059E8" w14:paraId="452F139A" w14:textId="77777777" w:rsidTr="00A127F8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1B9A4487" w14:textId="77777777" w:rsidR="00227339" w:rsidRPr="004059E8" w:rsidRDefault="00227339" w:rsidP="00A127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úplnost, podrobnost a přiměřenost rozpočtu vzhledem k členské základně a obsahu žádosti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843AF56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AA23E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227339" w:rsidRPr="004059E8" w14:paraId="4707C723" w14:textId="77777777" w:rsidTr="00A127F8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3A0FE2DF" w14:textId="77777777" w:rsidR="00227339" w:rsidRPr="004059E8" w:rsidRDefault="00227339" w:rsidP="00A127F8">
            <w:pPr>
              <w:jc w:val="right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celkový max. počet bodů v části B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0E7F5C62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106F51A6" w14:textId="77777777" w:rsidR="00227339" w:rsidRPr="004059E8" w:rsidRDefault="00227339" w:rsidP="00227339"/>
    <w:p w14:paraId="199C0F2B" w14:textId="77777777" w:rsidR="00227339" w:rsidRPr="004059E8" w:rsidRDefault="00227339" w:rsidP="00227339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227339" w:rsidRPr="004059E8" w14:paraId="02A2F0D5" w14:textId="77777777" w:rsidTr="00A127F8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12FEB18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hodnotící kritérium – část C (rada města)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FEC3CE9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4E9A67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4059E8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4059E8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227339" w:rsidRPr="004059E8" w14:paraId="7076D3AF" w14:textId="77777777" w:rsidTr="00A127F8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3FFDBC33" w14:textId="77777777" w:rsidR="00227339" w:rsidRPr="004059E8" w:rsidRDefault="00227339" w:rsidP="00A127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 xml:space="preserve">soulad se strategií města Šternberka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429B970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FBBBE0D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227339" w:rsidRPr="004059E8" w14:paraId="5B2B6B53" w14:textId="77777777" w:rsidTr="00A127F8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19A3CE0C" w14:textId="77777777" w:rsidR="00227339" w:rsidRPr="004059E8" w:rsidRDefault="00227339" w:rsidP="00A127F8">
            <w:pPr>
              <w:jc w:val="right"/>
              <w:rPr>
                <w:rFonts w:ascii="Arial" w:hAnsi="Arial" w:cs="Arial"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celkový max. počet bodů v části C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3C24645F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</w:tbl>
    <w:p w14:paraId="2BC12EB0" w14:textId="77777777" w:rsidR="00227339" w:rsidRPr="004059E8" w:rsidRDefault="00227339" w:rsidP="00227339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8"/>
        <w:gridCol w:w="1140"/>
      </w:tblGrid>
      <w:tr w:rsidR="00227339" w:rsidRPr="004059E8" w14:paraId="44FB47F9" w14:textId="77777777" w:rsidTr="00A127F8">
        <w:trPr>
          <w:trHeight w:val="450"/>
        </w:trPr>
        <w:tc>
          <w:tcPr>
            <w:tcW w:w="7878" w:type="dxa"/>
            <w:shd w:val="clear" w:color="auto" w:fill="D9D9D9" w:themeFill="background1" w:themeFillShade="D9"/>
            <w:noWrap/>
            <w:vAlign w:val="center"/>
            <w:hideMark/>
          </w:tcPr>
          <w:p w14:paraId="2D28E01E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>Maximální počet bodů celkem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14:paraId="142AB1FF" w14:textId="77777777" w:rsidR="00227339" w:rsidRPr="004059E8" w:rsidRDefault="00227339" w:rsidP="00A127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9E8">
              <w:rPr>
                <w:rFonts w:ascii="Arial" w:hAnsi="Arial" w:cs="Arial"/>
                <w:b/>
                <w:bCs/>
                <w:color w:val="000000"/>
              </w:rPr>
              <w:t xml:space="preserve">100 </w:t>
            </w:r>
          </w:p>
        </w:tc>
      </w:tr>
    </w:tbl>
    <w:p w14:paraId="69B7EEE4" w14:textId="77777777" w:rsidR="00227339" w:rsidRPr="004059E8" w:rsidRDefault="00227339" w:rsidP="002900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6D7C3C" w14:textId="77777777" w:rsidR="002900CE" w:rsidRPr="004059E8" w:rsidRDefault="002900CE" w:rsidP="002900C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Hlk49327659"/>
      <w:r w:rsidRPr="004059E8">
        <w:rPr>
          <w:rFonts w:ascii="Arial" w:hAnsi="Arial" w:cs="Arial"/>
          <w:color w:val="auto"/>
          <w:sz w:val="22"/>
          <w:szCs w:val="22"/>
        </w:rPr>
        <w:t xml:space="preserve">Minimální počet získaných bodů pro doporučení žádosti ke schválení dotace je </w:t>
      </w:r>
      <w:r w:rsidRPr="004059E8">
        <w:rPr>
          <w:rFonts w:ascii="Arial" w:hAnsi="Arial" w:cs="Arial"/>
          <w:b/>
          <w:color w:val="auto"/>
          <w:sz w:val="22"/>
          <w:szCs w:val="22"/>
        </w:rPr>
        <w:t>65</w:t>
      </w:r>
      <w:r w:rsidRPr="004059E8">
        <w:rPr>
          <w:rFonts w:ascii="Arial" w:hAnsi="Arial" w:cs="Arial"/>
          <w:color w:val="auto"/>
          <w:sz w:val="22"/>
          <w:szCs w:val="22"/>
        </w:rPr>
        <w:t xml:space="preserve"> </w:t>
      </w:r>
      <w:r w:rsidRPr="004059E8">
        <w:rPr>
          <w:rFonts w:ascii="Arial" w:hAnsi="Arial" w:cs="Arial"/>
          <w:b/>
          <w:color w:val="auto"/>
          <w:sz w:val="22"/>
          <w:szCs w:val="22"/>
        </w:rPr>
        <w:t>bodů</w:t>
      </w:r>
      <w:bookmarkEnd w:id="1"/>
      <w:r w:rsidRPr="004059E8">
        <w:rPr>
          <w:rFonts w:ascii="Arial" w:hAnsi="Arial" w:cs="Arial"/>
          <w:color w:val="auto"/>
          <w:sz w:val="22"/>
          <w:szCs w:val="22"/>
        </w:rPr>
        <w:t>. Věcně příslušná komise dále navrhuje výši dotace, a to radě města, ta o nich rozhoduje, resp. doporučuje zastupitelstvu města.</w:t>
      </w:r>
    </w:p>
    <w:p w14:paraId="62440115" w14:textId="77777777" w:rsidR="002900CE" w:rsidRPr="004059E8" w:rsidRDefault="002900CE" w:rsidP="002900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EA630F" w14:textId="77777777" w:rsidR="002900CE" w:rsidRPr="004059E8" w:rsidRDefault="002900CE" w:rsidP="002900CE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059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Důvodem pro neposkytnutí dotace je souběh nízkého počtu bodů a nedostatku finančních prostředků vyčleněných na dotační program.</w:t>
      </w:r>
    </w:p>
    <w:p w14:paraId="0022E636" w14:textId="77777777" w:rsidR="008A4660" w:rsidRPr="004059E8" w:rsidRDefault="008A466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4059E8" w14:paraId="7E4E5DE9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55E64769" w14:textId="77777777" w:rsidR="002031E2" w:rsidRPr="004059E8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59E8">
              <w:rPr>
                <w:rFonts w:ascii="Arial" w:hAnsi="Arial" w:cs="Arial"/>
                <w:b/>
                <w:sz w:val="28"/>
                <w:szCs w:val="28"/>
              </w:rPr>
              <w:t>Podmínky pro poskytnutí dotací</w:t>
            </w:r>
          </w:p>
        </w:tc>
      </w:tr>
    </w:tbl>
    <w:p w14:paraId="1F75A8E9" w14:textId="77777777" w:rsidR="00F137E8" w:rsidRPr="004059E8" w:rsidRDefault="00F137E8" w:rsidP="00F137E8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FDDB075" w14:textId="2C0ACD73" w:rsidR="00DC6833" w:rsidRPr="004059E8" w:rsidRDefault="00F2252B" w:rsidP="00B97A6A">
      <w:pPr>
        <w:spacing w:after="120"/>
        <w:jc w:val="both"/>
      </w:pPr>
      <w:r w:rsidRPr="004059E8">
        <w:rPr>
          <w:rFonts w:ascii="Arial" w:hAnsi="Arial" w:cs="Arial"/>
          <w:sz w:val="22"/>
          <w:szCs w:val="22"/>
        </w:rPr>
        <w:t xml:space="preserve">Pro </w:t>
      </w:r>
      <w:r w:rsidR="009B6372" w:rsidRPr="004059E8">
        <w:rPr>
          <w:rFonts w:ascii="Arial" w:hAnsi="Arial" w:cs="Arial"/>
          <w:sz w:val="22"/>
          <w:szCs w:val="22"/>
        </w:rPr>
        <w:t>podporu</w:t>
      </w:r>
      <w:r w:rsidRPr="004059E8">
        <w:rPr>
          <w:rFonts w:ascii="Arial" w:hAnsi="Arial" w:cs="Arial"/>
          <w:sz w:val="22"/>
          <w:szCs w:val="22"/>
        </w:rPr>
        <w:t xml:space="preserve"> stanoveného účelu jsou stanoveny tzv. uznatelné a neuznatelné náklady. </w:t>
      </w:r>
      <w:r w:rsidR="00DC6833" w:rsidRPr="004059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Dotace může být poskytnuta jen na uznatelné výdaje neinvestičního charakteru</w:t>
      </w:r>
      <w:r w:rsidR="000424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FCEC768" w14:textId="01225597" w:rsidR="000424EA" w:rsidRPr="004059E8" w:rsidRDefault="000424EA" w:rsidP="000424EA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b/>
          <w:bCs/>
          <w:sz w:val="22"/>
          <w:szCs w:val="22"/>
        </w:rPr>
        <w:t xml:space="preserve">uznatelné náklady </w:t>
      </w:r>
      <w:r>
        <w:rPr>
          <w:rFonts w:ascii="Arial" w:hAnsi="Arial" w:cs="Arial"/>
          <w:sz w:val="22"/>
          <w:szCs w:val="22"/>
        </w:rPr>
        <w:t>jsou považovány náklady nezbytné pro realizaci projektu</w:t>
      </w:r>
      <w:r w:rsidR="00B97A6A">
        <w:rPr>
          <w:rFonts w:ascii="Arial" w:hAnsi="Arial" w:cs="Arial"/>
          <w:sz w:val="22"/>
          <w:szCs w:val="22"/>
        </w:rPr>
        <w:t xml:space="preserve"> uvedeného v žádosti</w:t>
      </w:r>
      <w:r>
        <w:rPr>
          <w:rFonts w:ascii="Arial" w:hAnsi="Arial" w:cs="Arial"/>
          <w:sz w:val="22"/>
          <w:szCs w:val="22"/>
        </w:rPr>
        <w:t>. Náklady musí být v souladu s finančním rozpočtem, který je součástí žádosti o poskytnutí dotace či upraveným rozpočtem na základě schválené výše poskytnuté dotace.</w:t>
      </w:r>
    </w:p>
    <w:p w14:paraId="5C96F320" w14:textId="3D43742E" w:rsidR="00F2252B" w:rsidRPr="004059E8" w:rsidRDefault="000424EA" w:rsidP="00F2252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může být použita</w:t>
      </w:r>
      <w:r w:rsidR="00F2252B" w:rsidRPr="004059E8">
        <w:rPr>
          <w:rFonts w:ascii="Arial" w:hAnsi="Arial" w:cs="Arial"/>
          <w:sz w:val="22"/>
          <w:szCs w:val="22"/>
        </w:rPr>
        <w:t xml:space="preserve"> zejména</w:t>
      </w:r>
      <w:r>
        <w:rPr>
          <w:rFonts w:ascii="Arial" w:hAnsi="Arial" w:cs="Arial"/>
          <w:sz w:val="22"/>
          <w:szCs w:val="22"/>
        </w:rPr>
        <w:t xml:space="preserve"> na</w:t>
      </w:r>
      <w:r w:rsidR="00F2252B" w:rsidRPr="004059E8">
        <w:rPr>
          <w:rFonts w:ascii="Arial" w:hAnsi="Arial" w:cs="Arial"/>
          <w:sz w:val="22"/>
          <w:szCs w:val="22"/>
        </w:rPr>
        <w:t xml:space="preserve">: </w:t>
      </w:r>
    </w:p>
    <w:p w14:paraId="25F9EE44" w14:textId="77777777" w:rsidR="00083485" w:rsidRPr="004059E8" w:rsidRDefault="00083485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pronájem prostor pro vyvíjení činnosti</w:t>
      </w:r>
      <w:r w:rsidR="00895D57" w:rsidRPr="004059E8">
        <w:rPr>
          <w:rFonts w:ascii="Arial" w:hAnsi="Arial" w:cs="Arial"/>
          <w:sz w:val="22"/>
          <w:szCs w:val="22"/>
        </w:rPr>
        <w:t xml:space="preserve"> nebo uspořádání akce</w:t>
      </w:r>
      <w:r w:rsidRPr="004059E8">
        <w:rPr>
          <w:rFonts w:ascii="Arial" w:hAnsi="Arial" w:cs="Arial"/>
          <w:sz w:val="22"/>
          <w:szCs w:val="22"/>
        </w:rPr>
        <w:t xml:space="preserve">; </w:t>
      </w:r>
    </w:p>
    <w:p w14:paraId="00365FCD" w14:textId="142BD9E3" w:rsidR="00AC2002" w:rsidRPr="004059E8" w:rsidRDefault="00AC2002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 xml:space="preserve">nákup </w:t>
      </w:r>
      <w:r w:rsidR="00ED73F0" w:rsidRPr="004059E8">
        <w:rPr>
          <w:rFonts w:ascii="Arial" w:hAnsi="Arial" w:cs="Arial"/>
          <w:sz w:val="22"/>
          <w:szCs w:val="22"/>
        </w:rPr>
        <w:t xml:space="preserve">spotřebního </w:t>
      </w:r>
      <w:r w:rsidRPr="004059E8">
        <w:rPr>
          <w:rFonts w:ascii="Arial" w:hAnsi="Arial" w:cs="Arial"/>
          <w:sz w:val="22"/>
          <w:szCs w:val="22"/>
        </w:rPr>
        <w:t>materiálu pro vyvíjení činnosti</w:t>
      </w:r>
      <w:r w:rsidR="004059E8" w:rsidRPr="004059E8">
        <w:rPr>
          <w:rFonts w:ascii="Arial" w:hAnsi="Arial" w:cs="Arial"/>
          <w:sz w:val="22"/>
          <w:szCs w:val="22"/>
        </w:rPr>
        <w:t xml:space="preserve"> nebo uspořádání akce</w:t>
      </w:r>
      <w:r w:rsidRPr="004059E8">
        <w:rPr>
          <w:rFonts w:ascii="Arial" w:hAnsi="Arial" w:cs="Arial"/>
          <w:sz w:val="22"/>
          <w:szCs w:val="22"/>
        </w:rPr>
        <w:t>;</w:t>
      </w:r>
    </w:p>
    <w:p w14:paraId="4105FEAF" w14:textId="77777777" w:rsidR="003A1768" w:rsidRPr="004059E8" w:rsidRDefault="003A1768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pořízení vybavení pro táborové činnosti (</w:t>
      </w:r>
      <w:r w:rsidR="00983ACD" w:rsidRPr="004059E8">
        <w:rPr>
          <w:rFonts w:ascii="Arial" w:hAnsi="Arial" w:cs="Arial"/>
          <w:sz w:val="22"/>
          <w:szCs w:val="22"/>
        </w:rPr>
        <w:t xml:space="preserve">např. </w:t>
      </w:r>
      <w:r w:rsidRPr="004059E8">
        <w:rPr>
          <w:rFonts w:ascii="Arial" w:hAnsi="Arial" w:cs="Arial"/>
          <w:sz w:val="22"/>
          <w:szCs w:val="22"/>
        </w:rPr>
        <w:t>st</w:t>
      </w:r>
      <w:r w:rsidR="00983ACD" w:rsidRPr="004059E8">
        <w:rPr>
          <w:rFonts w:ascii="Arial" w:hAnsi="Arial" w:cs="Arial"/>
          <w:sz w:val="22"/>
          <w:szCs w:val="22"/>
        </w:rPr>
        <w:t>any, sportovní nářadí a náčiní – musí být specifikováno v žádosti)</w:t>
      </w:r>
      <w:r w:rsidR="00ED73F0" w:rsidRPr="004059E8">
        <w:rPr>
          <w:rFonts w:ascii="Arial" w:hAnsi="Arial" w:cs="Arial"/>
          <w:sz w:val="22"/>
          <w:szCs w:val="22"/>
        </w:rPr>
        <w:t>;</w:t>
      </w:r>
    </w:p>
    <w:p w14:paraId="1E0856CB" w14:textId="1FA7D692" w:rsidR="008A4660" w:rsidRPr="004059E8" w:rsidRDefault="00895D57" w:rsidP="00536D30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honoráře</w:t>
      </w:r>
      <w:r w:rsidR="004171C6" w:rsidRPr="004059E8">
        <w:rPr>
          <w:rFonts w:ascii="Arial" w:hAnsi="Arial" w:cs="Arial"/>
          <w:sz w:val="22"/>
          <w:szCs w:val="22"/>
        </w:rPr>
        <w:t xml:space="preserve">, </w:t>
      </w:r>
      <w:r w:rsidRPr="004059E8">
        <w:rPr>
          <w:rFonts w:ascii="Arial" w:hAnsi="Arial" w:cs="Arial"/>
          <w:sz w:val="22"/>
          <w:szCs w:val="22"/>
        </w:rPr>
        <w:t>poplatk</w:t>
      </w:r>
      <w:r w:rsidR="004171C6" w:rsidRPr="004059E8">
        <w:rPr>
          <w:rFonts w:ascii="Arial" w:hAnsi="Arial" w:cs="Arial"/>
          <w:sz w:val="22"/>
          <w:szCs w:val="22"/>
        </w:rPr>
        <w:t>y</w:t>
      </w:r>
      <w:r w:rsidRPr="004059E8">
        <w:rPr>
          <w:rFonts w:ascii="Arial" w:hAnsi="Arial" w:cs="Arial"/>
          <w:sz w:val="22"/>
          <w:szCs w:val="22"/>
        </w:rPr>
        <w:t xml:space="preserve"> za užití autorských práv</w:t>
      </w:r>
      <w:r w:rsidR="008A4660" w:rsidRPr="004059E8">
        <w:rPr>
          <w:rFonts w:ascii="Arial" w:hAnsi="Arial" w:cs="Arial"/>
          <w:sz w:val="22"/>
          <w:szCs w:val="22"/>
        </w:rPr>
        <w:t>;</w:t>
      </w:r>
    </w:p>
    <w:p w14:paraId="40F67C18" w14:textId="77777777" w:rsidR="00895D57" w:rsidRPr="004059E8" w:rsidRDefault="00895D57" w:rsidP="00536D30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zajištění akce (pořadatelská služba, moderátor);</w:t>
      </w:r>
    </w:p>
    <w:p w14:paraId="4B037019" w14:textId="77777777" w:rsidR="00895D57" w:rsidRPr="004059E8" w:rsidRDefault="00895D57" w:rsidP="00895D57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technické zabezpečení (např.</w:t>
      </w:r>
      <w:r w:rsidR="00B43073" w:rsidRPr="004059E8">
        <w:rPr>
          <w:rFonts w:ascii="Arial" w:hAnsi="Arial" w:cs="Arial"/>
          <w:sz w:val="22"/>
          <w:szCs w:val="22"/>
        </w:rPr>
        <w:t xml:space="preserve"> zapůjčení/pronájem </w:t>
      </w:r>
      <w:r w:rsidRPr="004059E8">
        <w:rPr>
          <w:rFonts w:ascii="Arial" w:hAnsi="Arial" w:cs="Arial"/>
          <w:sz w:val="22"/>
          <w:szCs w:val="22"/>
        </w:rPr>
        <w:t>mobiliář</w:t>
      </w:r>
      <w:r w:rsidR="00B43073" w:rsidRPr="004059E8">
        <w:rPr>
          <w:rFonts w:ascii="Arial" w:hAnsi="Arial" w:cs="Arial"/>
          <w:sz w:val="22"/>
          <w:szCs w:val="22"/>
        </w:rPr>
        <w:t>e</w:t>
      </w:r>
      <w:r w:rsidRPr="004059E8">
        <w:rPr>
          <w:rFonts w:ascii="Arial" w:hAnsi="Arial" w:cs="Arial"/>
          <w:sz w:val="22"/>
          <w:szCs w:val="22"/>
        </w:rPr>
        <w:t>, zvuk, světla);</w:t>
      </w:r>
    </w:p>
    <w:p w14:paraId="5DF03E94" w14:textId="77777777" w:rsidR="008A4660" w:rsidRPr="004059E8" w:rsidRDefault="008A4660" w:rsidP="008A4660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bCs/>
          <w:sz w:val="22"/>
          <w:szCs w:val="22"/>
        </w:rPr>
        <w:t xml:space="preserve">použití vratných (opakovaně použitelných) nápojových kelímků (zapůjčení, doprava a mytí); </w:t>
      </w:r>
    </w:p>
    <w:p w14:paraId="649DA940" w14:textId="77777777" w:rsidR="00083485" w:rsidRPr="004059E8" w:rsidRDefault="00983ACD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59E8">
        <w:rPr>
          <w:rFonts w:ascii="Arial" w:hAnsi="Arial" w:cs="Arial"/>
          <w:sz w:val="22"/>
          <w:szCs w:val="22"/>
        </w:rPr>
        <w:t>propagace.</w:t>
      </w:r>
    </w:p>
    <w:p w14:paraId="0F72F543" w14:textId="77777777" w:rsidR="00F2252B" w:rsidRDefault="00F2252B" w:rsidP="00F2252B">
      <w:pPr>
        <w:pStyle w:val="Default"/>
        <w:rPr>
          <w:sz w:val="22"/>
          <w:szCs w:val="22"/>
        </w:rPr>
      </w:pPr>
    </w:p>
    <w:p w14:paraId="4837CC3A" w14:textId="77777777" w:rsidR="00F2252B" w:rsidRPr="0021497D" w:rsidRDefault="00DC6833" w:rsidP="0021497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497D">
        <w:rPr>
          <w:rFonts w:ascii="Arial" w:hAnsi="Arial" w:cs="Arial"/>
          <w:b/>
          <w:bCs/>
          <w:sz w:val="22"/>
          <w:szCs w:val="22"/>
        </w:rPr>
        <w:lastRenderedPageBreak/>
        <w:t>Za n</w:t>
      </w:r>
      <w:r w:rsidR="00F2252B" w:rsidRPr="0021497D">
        <w:rPr>
          <w:rFonts w:ascii="Arial" w:hAnsi="Arial" w:cs="Arial"/>
          <w:b/>
          <w:bCs/>
          <w:sz w:val="22"/>
          <w:szCs w:val="22"/>
        </w:rPr>
        <w:t>euznatelné náklady</w:t>
      </w:r>
      <w:r w:rsidR="00F2252B" w:rsidRPr="0021497D">
        <w:rPr>
          <w:rFonts w:ascii="Arial" w:hAnsi="Arial" w:cs="Arial"/>
          <w:sz w:val="22"/>
          <w:szCs w:val="22"/>
        </w:rPr>
        <w:t>, na které nelze využít dotaci</w:t>
      </w:r>
      <w:r w:rsidRPr="0021497D">
        <w:rPr>
          <w:rFonts w:ascii="Arial" w:hAnsi="Arial" w:cs="Arial"/>
          <w:sz w:val="22"/>
          <w:szCs w:val="22"/>
        </w:rPr>
        <w:t>, se považuje</w:t>
      </w:r>
      <w:r w:rsidR="00F2252B" w:rsidRPr="0021497D">
        <w:rPr>
          <w:rFonts w:ascii="Arial" w:hAnsi="Arial" w:cs="Arial"/>
          <w:sz w:val="22"/>
          <w:szCs w:val="22"/>
        </w:rPr>
        <w:t xml:space="preserve">: </w:t>
      </w:r>
    </w:p>
    <w:p w14:paraId="1FA2B273" w14:textId="77777777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pořízení hmotného i nehmotného majetku</w:t>
      </w:r>
      <w:r w:rsidR="00983ACD">
        <w:rPr>
          <w:rFonts w:ascii="Arial" w:hAnsi="Arial" w:cs="Arial"/>
          <w:sz w:val="22"/>
          <w:szCs w:val="22"/>
        </w:rPr>
        <w:t xml:space="preserve"> s výjimkou pořízení táborového vybavení</w:t>
      </w:r>
      <w:r w:rsidRPr="004105B7">
        <w:rPr>
          <w:rFonts w:ascii="Arial" w:hAnsi="Arial" w:cs="Arial"/>
          <w:sz w:val="22"/>
          <w:szCs w:val="22"/>
        </w:rPr>
        <w:t>;</w:t>
      </w:r>
    </w:p>
    <w:p w14:paraId="3FA4B667" w14:textId="74C41FE8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osobní náklady</w:t>
      </w:r>
      <w:r w:rsidR="004059E8">
        <w:rPr>
          <w:rFonts w:ascii="Arial" w:hAnsi="Arial" w:cs="Arial"/>
          <w:sz w:val="22"/>
          <w:szCs w:val="22"/>
        </w:rPr>
        <w:t xml:space="preserve"> s výjimkou odměn </w:t>
      </w:r>
      <w:r w:rsidR="004059E8" w:rsidRPr="004059E8">
        <w:rPr>
          <w:rFonts w:ascii="Arial" w:hAnsi="Arial" w:cs="Arial"/>
          <w:sz w:val="22"/>
          <w:szCs w:val="22"/>
        </w:rPr>
        <w:t>pořadatelsk</w:t>
      </w:r>
      <w:r w:rsidR="004059E8">
        <w:rPr>
          <w:rFonts w:ascii="Arial" w:hAnsi="Arial" w:cs="Arial"/>
          <w:sz w:val="22"/>
          <w:szCs w:val="22"/>
        </w:rPr>
        <w:t>é</w:t>
      </w:r>
      <w:r w:rsidR="004059E8" w:rsidRPr="004059E8">
        <w:rPr>
          <w:rFonts w:ascii="Arial" w:hAnsi="Arial" w:cs="Arial"/>
          <w:sz w:val="22"/>
          <w:szCs w:val="22"/>
        </w:rPr>
        <w:t xml:space="preserve"> služb</w:t>
      </w:r>
      <w:r w:rsidR="004059E8">
        <w:rPr>
          <w:rFonts w:ascii="Arial" w:hAnsi="Arial" w:cs="Arial"/>
          <w:sz w:val="22"/>
          <w:szCs w:val="22"/>
        </w:rPr>
        <w:t>ě</w:t>
      </w:r>
      <w:r w:rsidR="004059E8" w:rsidRPr="004059E8">
        <w:rPr>
          <w:rFonts w:ascii="Arial" w:hAnsi="Arial" w:cs="Arial"/>
          <w:sz w:val="22"/>
          <w:szCs w:val="22"/>
        </w:rPr>
        <w:t>, moderátor</w:t>
      </w:r>
      <w:r w:rsidR="004059E8">
        <w:rPr>
          <w:rFonts w:ascii="Arial" w:hAnsi="Arial" w:cs="Arial"/>
          <w:sz w:val="22"/>
          <w:szCs w:val="22"/>
        </w:rPr>
        <w:t>ovi (musí být sjednáno v DPP/</w:t>
      </w:r>
      <w:proofErr w:type="spellStart"/>
      <w:r w:rsidR="004059E8">
        <w:rPr>
          <w:rFonts w:ascii="Arial" w:hAnsi="Arial" w:cs="Arial"/>
          <w:sz w:val="22"/>
          <w:szCs w:val="22"/>
        </w:rPr>
        <w:t>DPČ</w:t>
      </w:r>
      <w:proofErr w:type="spellEnd"/>
      <w:r w:rsidR="004059E8">
        <w:rPr>
          <w:rFonts w:ascii="Arial" w:hAnsi="Arial" w:cs="Arial"/>
          <w:sz w:val="22"/>
          <w:szCs w:val="22"/>
        </w:rPr>
        <w:t>/PS)</w:t>
      </w:r>
      <w:r w:rsidR="00083485">
        <w:rPr>
          <w:rFonts w:ascii="Arial" w:hAnsi="Arial" w:cs="Arial"/>
          <w:sz w:val="22"/>
          <w:szCs w:val="22"/>
        </w:rPr>
        <w:t>;</w:t>
      </w:r>
      <w:r w:rsidRPr="004105B7">
        <w:rPr>
          <w:rFonts w:ascii="Arial" w:hAnsi="Arial" w:cs="Arial"/>
          <w:sz w:val="22"/>
          <w:szCs w:val="22"/>
        </w:rPr>
        <w:t xml:space="preserve"> </w:t>
      </w:r>
    </w:p>
    <w:p w14:paraId="2CF651FB" w14:textId="07A650E5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finanční odměny a peněžní dary</w:t>
      </w:r>
      <w:r w:rsidR="000451C7">
        <w:rPr>
          <w:rFonts w:ascii="Arial" w:hAnsi="Arial" w:cs="Arial"/>
          <w:sz w:val="22"/>
          <w:szCs w:val="22"/>
        </w:rPr>
        <w:t>, věcné dary s výjimkou odměn v soutěžích</w:t>
      </w:r>
      <w:r w:rsidRPr="004105B7">
        <w:rPr>
          <w:rFonts w:ascii="Arial" w:hAnsi="Arial" w:cs="Arial"/>
          <w:sz w:val="22"/>
          <w:szCs w:val="22"/>
        </w:rPr>
        <w:t xml:space="preserve">; </w:t>
      </w:r>
    </w:p>
    <w:p w14:paraId="00B3C562" w14:textId="77777777" w:rsidR="004105B7" w:rsidRPr="004105B7" w:rsidRDefault="004105B7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úhrada služeb účetních a daňových poradců</w:t>
      </w:r>
      <w:r w:rsidR="00375959">
        <w:rPr>
          <w:rFonts w:ascii="Arial" w:hAnsi="Arial" w:cs="Arial"/>
          <w:sz w:val="22"/>
          <w:szCs w:val="22"/>
        </w:rPr>
        <w:t>; vedení účetnictví;</w:t>
      </w:r>
    </w:p>
    <w:p w14:paraId="0BA7E0C0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pohoštění, </w:t>
      </w:r>
      <w:r w:rsidR="0021497D" w:rsidRPr="004105B7">
        <w:rPr>
          <w:rFonts w:ascii="Arial" w:hAnsi="Arial" w:cs="Arial"/>
          <w:sz w:val="22"/>
          <w:szCs w:val="22"/>
        </w:rPr>
        <w:t xml:space="preserve">občerstvení, </w:t>
      </w:r>
      <w:r w:rsidRPr="004105B7">
        <w:rPr>
          <w:rFonts w:ascii="Arial" w:hAnsi="Arial" w:cs="Arial"/>
          <w:sz w:val="22"/>
          <w:szCs w:val="22"/>
        </w:rPr>
        <w:t xml:space="preserve">rauty a nákup potravin; </w:t>
      </w:r>
    </w:p>
    <w:p w14:paraId="4265D64E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daně (výjimkou je daň z přidané hodnoty v případě, že příjemce dotace je neplátce této daně nebo mu nevzniká nárok na odpočet této daně); </w:t>
      </w:r>
    </w:p>
    <w:p w14:paraId="57DB4849" w14:textId="77777777" w:rsidR="00F2252B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poplatky za telefon, internet;</w:t>
      </w:r>
    </w:p>
    <w:p w14:paraId="127107DE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penále, srážek a dalších finančních postihů; </w:t>
      </w:r>
    </w:p>
    <w:p w14:paraId="15477FFB" w14:textId="77777777" w:rsidR="004105B7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splátky </w:t>
      </w:r>
      <w:r w:rsidR="00ED73F0">
        <w:rPr>
          <w:rFonts w:ascii="Arial" w:hAnsi="Arial" w:cs="Arial"/>
          <w:sz w:val="22"/>
          <w:szCs w:val="22"/>
        </w:rPr>
        <w:t xml:space="preserve">půjček, </w:t>
      </w:r>
      <w:r w:rsidRPr="004105B7">
        <w:rPr>
          <w:rFonts w:ascii="Arial" w:hAnsi="Arial" w:cs="Arial"/>
          <w:sz w:val="22"/>
          <w:szCs w:val="22"/>
        </w:rPr>
        <w:t xml:space="preserve">úvěrů vč. úroků, </w:t>
      </w:r>
      <w:r w:rsidR="004105B7" w:rsidRPr="004105B7">
        <w:rPr>
          <w:rFonts w:ascii="Arial" w:hAnsi="Arial" w:cs="Arial"/>
          <w:sz w:val="22"/>
          <w:szCs w:val="22"/>
        </w:rPr>
        <w:t>odpisy hmotného i nehmotného majetku, akontace leasingu a leasingových splátek</w:t>
      </w:r>
      <w:r w:rsidR="00ED73F0">
        <w:rPr>
          <w:rFonts w:ascii="Arial" w:hAnsi="Arial" w:cs="Arial"/>
          <w:sz w:val="22"/>
          <w:szCs w:val="22"/>
        </w:rPr>
        <w:t xml:space="preserve"> vč. pronájmu hmotného majetku</w:t>
      </w:r>
      <w:r w:rsidR="0033257D">
        <w:rPr>
          <w:rFonts w:ascii="Arial" w:hAnsi="Arial" w:cs="Arial"/>
          <w:sz w:val="22"/>
          <w:szCs w:val="22"/>
        </w:rPr>
        <w:t>;</w:t>
      </w:r>
    </w:p>
    <w:p w14:paraId="730579BA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správní, soudní a bankovní poplatky; </w:t>
      </w:r>
    </w:p>
    <w:p w14:paraId="341BC198" w14:textId="38ACEBBE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pojištění </w:t>
      </w:r>
      <w:r w:rsidR="000424EA">
        <w:rPr>
          <w:rFonts w:ascii="Arial" w:hAnsi="Arial" w:cs="Arial"/>
          <w:sz w:val="22"/>
          <w:szCs w:val="22"/>
        </w:rPr>
        <w:t xml:space="preserve">osob, </w:t>
      </w:r>
      <w:r w:rsidRPr="004105B7">
        <w:rPr>
          <w:rFonts w:ascii="Arial" w:hAnsi="Arial" w:cs="Arial"/>
          <w:sz w:val="22"/>
          <w:szCs w:val="22"/>
        </w:rPr>
        <w:t>majetku</w:t>
      </w:r>
      <w:r w:rsidR="000424EA">
        <w:rPr>
          <w:rFonts w:ascii="Arial" w:hAnsi="Arial" w:cs="Arial"/>
          <w:sz w:val="22"/>
          <w:szCs w:val="22"/>
        </w:rPr>
        <w:t>.</w:t>
      </w:r>
    </w:p>
    <w:p w14:paraId="27DEA2C9" w14:textId="6E6C8D54" w:rsidR="00F2252B" w:rsidRPr="004105B7" w:rsidRDefault="000451C7" w:rsidP="000451C7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2252B" w:rsidRPr="004105B7">
        <w:rPr>
          <w:rFonts w:ascii="Arial" w:hAnsi="Arial" w:cs="Arial"/>
          <w:sz w:val="22"/>
          <w:szCs w:val="22"/>
        </w:rPr>
        <w:t xml:space="preserve">otaci nelze </w:t>
      </w:r>
      <w:r w:rsidR="0021497D" w:rsidRPr="004105B7">
        <w:rPr>
          <w:rFonts w:ascii="Arial" w:hAnsi="Arial" w:cs="Arial"/>
          <w:sz w:val="22"/>
          <w:szCs w:val="22"/>
        </w:rPr>
        <w:t>použít</w:t>
      </w:r>
      <w:r w:rsidR="00F2252B" w:rsidRPr="004105B7">
        <w:rPr>
          <w:rFonts w:ascii="Arial" w:hAnsi="Arial" w:cs="Arial"/>
          <w:sz w:val="22"/>
          <w:szCs w:val="22"/>
        </w:rPr>
        <w:t xml:space="preserve"> formou zápočtu, ale pouze úhradou nákladů. </w:t>
      </w:r>
    </w:p>
    <w:p w14:paraId="621B4973" w14:textId="77777777" w:rsidR="00217E9B" w:rsidRDefault="00217E9B" w:rsidP="004105B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500079" w14:textId="3D2F0743" w:rsidR="000424EA" w:rsidRDefault="000424EA" w:rsidP="000424EA">
      <w:pPr>
        <w:pStyle w:val="Default"/>
        <w:spacing w:after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podmínky pro použití a vyúčtování dotace jsou uvedeny ve vzorové veřejnoprávní smlouvě o poskytnutí dotace, která je uvedena v příloze směrnice „Zásady pro poskytování dotací z rozpočtu města Šternberka“</w:t>
      </w:r>
    </w:p>
    <w:p w14:paraId="50365EFE" w14:textId="77777777" w:rsidR="000424EA" w:rsidRPr="004105B7" w:rsidRDefault="000424EA" w:rsidP="000424EA">
      <w:pPr>
        <w:pStyle w:val="Default"/>
        <w:spacing w:after="56"/>
        <w:jc w:val="both"/>
        <w:rPr>
          <w:rFonts w:ascii="Arial" w:hAnsi="Arial" w:cs="Arial"/>
          <w:sz w:val="22"/>
          <w:szCs w:val="22"/>
        </w:rPr>
      </w:pPr>
    </w:p>
    <w:p w14:paraId="4BDDA016" w14:textId="77777777" w:rsidR="006F0FAC" w:rsidRPr="004105B7" w:rsidRDefault="006F0FAC" w:rsidP="004105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Žadatel o dotaci má následující povinnost: </w:t>
      </w:r>
    </w:p>
    <w:p w14:paraId="105347A2" w14:textId="6D1A2C2F" w:rsidR="00B43073" w:rsidRDefault="006F0FAC" w:rsidP="008A4660">
      <w:pPr>
        <w:pStyle w:val="Default"/>
        <w:numPr>
          <w:ilvl w:val="0"/>
          <w:numId w:val="20"/>
        </w:numPr>
        <w:spacing w:after="5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umožnit členům</w:t>
      </w:r>
      <w:r w:rsidR="00AE0290">
        <w:rPr>
          <w:rFonts w:ascii="Arial" w:hAnsi="Arial" w:cs="Arial"/>
          <w:sz w:val="22"/>
          <w:szCs w:val="22"/>
        </w:rPr>
        <w:t xml:space="preserve"> </w:t>
      </w:r>
      <w:r w:rsidR="0008603E">
        <w:rPr>
          <w:rFonts w:ascii="Arial" w:hAnsi="Arial" w:cs="Arial"/>
          <w:sz w:val="22"/>
          <w:szCs w:val="22"/>
        </w:rPr>
        <w:t xml:space="preserve">věcně příslušné </w:t>
      </w:r>
      <w:r w:rsidR="00AE0290">
        <w:rPr>
          <w:rFonts w:ascii="Arial" w:hAnsi="Arial" w:cs="Arial"/>
          <w:sz w:val="22"/>
          <w:szCs w:val="22"/>
        </w:rPr>
        <w:t xml:space="preserve">komise 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úředníkům </w:t>
      </w:r>
      <w:r w:rsidR="004105B7" w:rsidRPr="004105B7">
        <w:rPr>
          <w:rFonts w:ascii="Arial" w:hAnsi="Arial" w:cs="Arial"/>
          <w:sz w:val="22"/>
          <w:szCs w:val="22"/>
        </w:rPr>
        <w:t>Městského úřadu Šternberk</w:t>
      </w:r>
      <w:r w:rsidRPr="004105B7">
        <w:rPr>
          <w:rFonts w:ascii="Arial" w:hAnsi="Arial" w:cs="Arial"/>
          <w:sz w:val="22"/>
          <w:szCs w:val="22"/>
        </w:rPr>
        <w:t xml:space="preserve"> provést kontrolu pravdivosti a úplnosti údaj</w:t>
      </w:r>
      <w:r w:rsidR="00B43073">
        <w:rPr>
          <w:rFonts w:ascii="Arial" w:hAnsi="Arial" w:cs="Arial"/>
          <w:sz w:val="22"/>
          <w:szCs w:val="22"/>
        </w:rPr>
        <w:t>ů uvedených v žádosti o dotaci</w:t>
      </w:r>
      <w:r w:rsidR="000451C7">
        <w:rPr>
          <w:rFonts w:ascii="Arial" w:hAnsi="Arial" w:cs="Arial"/>
          <w:sz w:val="22"/>
          <w:szCs w:val="22"/>
        </w:rPr>
        <w:t>;</w:t>
      </w:r>
    </w:p>
    <w:p w14:paraId="3D28BB6A" w14:textId="730FDA7D" w:rsidR="000451C7" w:rsidRPr="000451C7" w:rsidRDefault="000451C7" w:rsidP="000451C7">
      <w:pPr>
        <w:pStyle w:val="Default"/>
        <w:numPr>
          <w:ilvl w:val="0"/>
          <w:numId w:val="20"/>
        </w:numPr>
        <w:spacing w:after="56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51C7">
        <w:rPr>
          <w:rFonts w:ascii="Arial" w:hAnsi="Arial" w:cs="Arial"/>
          <w:sz w:val="22"/>
          <w:szCs w:val="22"/>
        </w:rPr>
        <w:t>prokazatelným způsobem informovat o konání akce, min</w:t>
      </w:r>
      <w:r>
        <w:rPr>
          <w:rFonts w:ascii="Arial" w:hAnsi="Arial" w:cs="Arial"/>
          <w:sz w:val="22"/>
          <w:szCs w:val="22"/>
        </w:rPr>
        <w:t>imálně</w:t>
      </w:r>
      <w:r w:rsidRPr="000451C7">
        <w:rPr>
          <w:rFonts w:ascii="Arial" w:hAnsi="Arial" w:cs="Arial"/>
          <w:sz w:val="22"/>
          <w:szCs w:val="22"/>
        </w:rPr>
        <w:t xml:space="preserve"> zaslat plakát, pozvánku Informačnímu centru Šternberk, info@poznej-sternbersko.cz.</w:t>
      </w:r>
    </w:p>
    <w:p w14:paraId="65EFCAF2" w14:textId="77777777" w:rsidR="000E047B" w:rsidRDefault="000E047B" w:rsidP="000E04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498F7D" w14:textId="2A625B36" w:rsidR="000E047B" w:rsidRPr="000E047B" w:rsidRDefault="000E047B" w:rsidP="000E04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E047B">
        <w:rPr>
          <w:rFonts w:ascii="Arial" w:eastAsiaTheme="minorHAnsi" w:hAnsi="Arial" w:cs="Arial"/>
          <w:sz w:val="22"/>
          <w:szCs w:val="22"/>
          <w:lang w:eastAsia="en-US"/>
        </w:rPr>
        <w:t>Žadatel</w:t>
      </w:r>
      <w:r w:rsidR="002635BC">
        <w:rPr>
          <w:rFonts w:ascii="Arial" w:eastAsiaTheme="minorHAnsi" w:hAnsi="Arial" w:cs="Arial"/>
          <w:sz w:val="22"/>
          <w:szCs w:val="22"/>
          <w:lang w:eastAsia="en-US"/>
        </w:rPr>
        <w:t xml:space="preserve"> uvede</w:t>
      </w:r>
      <w:r w:rsidRPr="000E047B">
        <w:rPr>
          <w:rFonts w:ascii="Arial" w:eastAsiaTheme="minorHAnsi" w:hAnsi="Arial" w:cs="Arial"/>
          <w:sz w:val="22"/>
          <w:szCs w:val="22"/>
          <w:lang w:eastAsia="en-US"/>
        </w:rPr>
        <w:t xml:space="preserve"> v žádosti, resp. přílohách všechny relevantní informace, které jsou žádoucí z hlediska hodnocení specifických kritérií.</w:t>
      </w:r>
    </w:p>
    <w:p w14:paraId="101285A1" w14:textId="77777777" w:rsidR="00C32494" w:rsidRDefault="00C32494" w:rsidP="00F908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4CEDC0" w14:textId="77777777" w:rsidR="00E806C7" w:rsidRDefault="00E806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F0907" w14:paraId="501AD279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7449D91B" w14:textId="77777777" w:rsidR="003F0907" w:rsidRDefault="003F0907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Další informace</w:t>
            </w:r>
          </w:p>
        </w:tc>
      </w:tr>
    </w:tbl>
    <w:p w14:paraId="30095AED" w14:textId="77777777" w:rsidR="00F82A96" w:rsidRDefault="00F82A96" w:rsidP="00C32494"/>
    <w:p w14:paraId="71F2104F" w14:textId="77777777" w:rsidR="00AA1F67" w:rsidRDefault="00AA1F67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2494">
        <w:rPr>
          <w:rFonts w:ascii="Arial" w:hAnsi="Arial" w:cs="Arial"/>
          <w:sz w:val="22"/>
          <w:szCs w:val="22"/>
        </w:rPr>
        <w:t xml:space="preserve">Dotace se poskytuje na základě veřejnoprávní smlouvy uzavřené mezi </w:t>
      </w:r>
      <w:r w:rsidR="00C32494">
        <w:rPr>
          <w:rFonts w:ascii="Arial" w:hAnsi="Arial" w:cs="Arial"/>
          <w:sz w:val="22"/>
          <w:szCs w:val="22"/>
        </w:rPr>
        <w:t xml:space="preserve">městem Šternberk </w:t>
      </w:r>
      <w:r w:rsidRPr="00C32494">
        <w:rPr>
          <w:rFonts w:ascii="Arial" w:hAnsi="Arial" w:cs="Arial"/>
          <w:sz w:val="22"/>
          <w:szCs w:val="22"/>
        </w:rPr>
        <w:t xml:space="preserve">a žadatelem. </w:t>
      </w:r>
    </w:p>
    <w:p w14:paraId="6E689B36" w14:textId="77777777" w:rsidR="00C32494" w:rsidRDefault="00C32494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 nehradí žadatelům náklady spojené s vypracováním a podáním žádosti o dotaci. Žádosti ani přílohy se nevracejí.</w:t>
      </w:r>
    </w:p>
    <w:p w14:paraId="3E1751D7" w14:textId="77777777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údaje na administrátor</w:t>
      </w:r>
      <w:r w:rsidR="0008603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1FAB7C40" w14:textId="3F6B5EB8" w:rsidR="00375959" w:rsidRPr="0078723E" w:rsidRDefault="00550623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</w:t>
      </w:r>
      <w:r w:rsidR="0078723E" w:rsidRPr="0078723E">
        <w:rPr>
          <w:rFonts w:ascii="Arial" w:hAnsi="Arial" w:cs="Arial"/>
          <w:sz w:val="22"/>
          <w:szCs w:val="22"/>
        </w:rPr>
        <w:t xml:space="preserve"> personalistiky, </w:t>
      </w:r>
      <w:r w:rsidR="00375959" w:rsidRPr="0078723E">
        <w:rPr>
          <w:rFonts w:ascii="Arial" w:hAnsi="Arial" w:cs="Arial"/>
          <w:sz w:val="22"/>
          <w:szCs w:val="22"/>
        </w:rPr>
        <w:t>školství a kultury, Městský úřad Šternberk, Horní nám.16, 785 01 Šternberk</w:t>
      </w:r>
    </w:p>
    <w:p w14:paraId="10CA603F" w14:textId="77777777" w:rsidR="00375959" w:rsidRPr="00C32494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585 086 227, e-mail: kamenickova@sternberk.cz</w:t>
      </w:r>
    </w:p>
    <w:p w14:paraId="3EDAFED1" w14:textId="77777777" w:rsidR="006C6F1D" w:rsidRDefault="006C6F1D"/>
    <w:p w14:paraId="726E7F06" w14:textId="77777777" w:rsidR="00E806C7" w:rsidRDefault="00E806C7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2C74CA7D" w14:textId="77777777" w:rsidTr="006C6F1D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40C06FD" w14:textId="77777777" w:rsidR="00941DB1" w:rsidRPr="000F52A6" w:rsidRDefault="00941DB1" w:rsidP="006F0F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Přílohy</w:t>
            </w:r>
          </w:p>
        </w:tc>
      </w:tr>
    </w:tbl>
    <w:p w14:paraId="1788E831" w14:textId="77777777" w:rsidR="00F90832" w:rsidRDefault="00F90832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p w14:paraId="7533EEB1" w14:textId="52D44DD6" w:rsidR="002900CE" w:rsidRDefault="002900CE" w:rsidP="002900CE">
      <w:pPr>
        <w:pStyle w:val="Zkladntext"/>
        <w:tabs>
          <w:tab w:val="left" w:leader="dot" w:pos="9923"/>
        </w:tabs>
        <w:spacing w:after="120"/>
        <w:outlineLvl w:val="0"/>
        <w:rPr>
          <w:rFonts w:ascii="Arial" w:hAnsi="Arial" w:cs="Arial"/>
          <w:sz w:val="22"/>
          <w:szCs w:val="22"/>
        </w:rPr>
      </w:pPr>
      <w:r w:rsidRPr="00DF71E0">
        <w:rPr>
          <w:rFonts w:ascii="Arial" w:hAnsi="Arial" w:cs="Arial"/>
          <w:sz w:val="22"/>
          <w:szCs w:val="22"/>
        </w:rPr>
        <w:t>Formulář žádosti</w:t>
      </w:r>
      <w:r>
        <w:rPr>
          <w:rFonts w:ascii="Arial" w:hAnsi="Arial" w:cs="Arial"/>
          <w:sz w:val="22"/>
          <w:szCs w:val="22"/>
        </w:rPr>
        <w:t xml:space="preserve"> F </w:t>
      </w:r>
      <w:r w:rsidR="0035300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1-08-01 včetně </w:t>
      </w:r>
      <w:r>
        <w:rPr>
          <w:rFonts w:ascii="Arial" w:hAnsi="Arial" w:cs="Arial"/>
          <w:iCs/>
          <w:sz w:val="22"/>
          <w:szCs w:val="22"/>
        </w:rPr>
        <w:t xml:space="preserve">podrobného </w:t>
      </w:r>
      <w:r w:rsidRPr="00E149F1">
        <w:rPr>
          <w:rFonts w:ascii="Arial" w:hAnsi="Arial" w:cs="Arial"/>
          <w:iCs/>
          <w:sz w:val="22"/>
          <w:szCs w:val="22"/>
        </w:rPr>
        <w:t>rozpočtu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1559C">
        <w:rPr>
          <w:rFonts w:ascii="Arial" w:hAnsi="Arial" w:cs="Arial"/>
          <w:i/>
          <w:sz w:val="22"/>
          <w:szCs w:val="22"/>
        </w:rPr>
        <w:t>(dle vzoru: rozpočet na akci / na činnost)</w:t>
      </w:r>
    </w:p>
    <w:p w14:paraId="125FCA1B" w14:textId="77777777" w:rsidR="00B43073" w:rsidRPr="00DF71E0" w:rsidRDefault="00B43073" w:rsidP="00B43073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zpracování osobních údajů.</w:t>
      </w:r>
    </w:p>
    <w:p w14:paraId="7FD91717" w14:textId="77777777" w:rsidR="00C57ADB" w:rsidRDefault="00C57ADB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sectPr w:rsidR="00C57ADB" w:rsidSect="00F90832">
      <w:footerReference w:type="even" r:id="rId7"/>
      <w:footerReference w:type="default" r:id="rId8"/>
      <w:headerReference w:type="first" r:id="rId9"/>
      <w:pgSz w:w="11906" w:h="16838"/>
      <w:pgMar w:top="993" w:right="1133" w:bottom="567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76B7" w14:textId="77777777" w:rsidR="006F0FAC" w:rsidRDefault="006F0FAC" w:rsidP="00717509">
      <w:r>
        <w:separator/>
      </w:r>
    </w:p>
  </w:endnote>
  <w:endnote w:type="continuationSeparator" w:id="0">
    <w:p w14:paraId="5DFE17AA" w14:textId="77777777" w:rsidR="006F0FAC" w:rsidRDefault="006F0FAC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3624A683" w14:textId="77777777" w:rsidR="006F0FAC" w:rsidRDefault="006F0F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4BF8A" w14:textId="77777777" w:rsidR="006F0FAC" w:rsidRDefault="006F0F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00A050AD" w14:textId="77777777" w:rsidR="006F0FAC" w:rsidRDefault="006C4513">
        <w:pPr>
          <w:pStyle w:val="Zpat"/>
          <w:jc w:val="right"/>
        </w:pPr>
      </w:p>
    </w:sdtContent>
  </w:sdt>
  <w:p w14:paraId="2143BFFC" w14:textId="77777777" w:rsidR="006F0FAC" w:rsidRDefault="006F0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D0C8" w14:textId="77777777" w:rsidR="006F0FAC" w:rsidRDefault="006F0FAC" w:rsidP="00717509">
      <w:r>
        <w:separator/>
      </w:r>
    </w:p>
  </w:footnote>
  <w:footnote w:type="continuationSeparator" w:id="0">
    <w:p w14:paraId="12120E32" w14:textId="77777777" w:rsidR="006F0FAC" w:rsidRDefault="006F0FAC" w:rsidP="007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815"/>
    </w:tblGrid>
    <w:tr w:rsidR="006F0FAC" w14:paraId="08EF89DD" w14:textId="77777777" w:rsidTr="006F0FAC">
      <w:tc>
        <w:tcPr>
          <w:tcW w:w="1526" w:type="dxa"/>
        </w:tcPr>
        <w:p w14:paraId="2190C3B2" w14:textId="77777777" w:rsidR="006F0FAC" w:rsidRDefault="006F0FAC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5CD362A0" wp14:editId="347B742F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49B03BB6" w14:textId="3F0502BE" w:rsidR="006F0FAC" w:rsidRDefault="006F0FAC" w:rsidP="00C0187E">
          <w:pPr>
            <w:pStyle w:val="Zhlav"/>
          </w:pPr>
          <w:r>
            <w:rPr>
              <w:rFonts w:ascii="Arial" w:hAnsi="Arial" w:cs="Arial"/>
              <w:sz w:val="40"/>
              <w:szCs w:val="40"/>
            </w:rPr>
            <w:t>Program pro poskytování dotací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  <w:r>
            <w:rPr>
              <w:rFonts w:ascii="Arial" w:hAnsi="Arial" w:cs="Arial"/>
              <w:sz w:val="40"/>
              <w:szCs w:val="40"/>
            </w:rPr>
            <w:t>v roce 20</w:t>
          </w:r>
          <w:r w:rsidR="0078723E">
            <w:rPr>
              <w:rFonts w:ascii="Arial" w:hAnsi="Arial" w:cs="Arial"/>
              <w:sz w:val="40"/>
              <w:szCs w:val="40"/>
            </w:rPr>
            <w:t>2</w:t>
          </w:r>
          <w:r w:rsidR="000451C7">
            <w:rPr>
              <w:rFonts w:ascii="Arial" w:hAnsi="Arial" w:cs="Arial"/>
              <w:sz w:val="40"/>
              <w:szCs w:val="40"/>
            </w:rPr>
            <w:t>2</w:t>
          </w:r>
        </w:p>
      </w:tc>
    </w:tr>
  </w:tbl>
  <w:p w14:paraId="6888A778" w14:textId="77777777" w:rsidR="006F0FAC" w:rsidRDefault="006F0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12"/>
    <w:multiLevelType w:val="hybridMultilevel"/>
    <w:tmpl w:val="4546E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FD3"/>
    <w:multiLevelType w:val="multilevel"/>
    <w:tmpl w:val="290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7D5"/>
    <w:multiLevelType w:val="hybridMultilevel"/>
    <w:tmpl w:val="D1F67620"/>
    <w:lvl w:ilvl="0" w:tplc="5BB83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33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41A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5" w15:restartNumberingAfterBreak="0">
    <w:nsid w:val="2C917240"/>
    <w:multiLevelType w:val="hybridMultilevel"/>
    <w:tmpl w:val="C824A2D4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 w15:restartNumberingAfterBreak="0">
    <w:nsid w:val="2CF26D8F"/>
    <w:multiLevelType w:val="multilevel"/>
    <w:tmpl w:val="D1B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34B8"/>
    <w:multiLevelType w:val="hybridMultilevel"/>
    <w:tmpl w:val="647EA7A8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604A"/>
    <w:multiLevelType w:val="hybridMultilevel"/>
    <w:tmpl w:val="87ECD59E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ED1"/>
    <w:multiLevelType w:val="hybridMultilevel"/>
    <w:tmpl w:val="6476803C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37E86"/>
    <w:multiLevelType w:val="hybridMultilevel"/>
    <w:tmpl w:val="53BA56A2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13C"/>
    <w:multiLevelType w:val="hybridMultilevel"/>
    <w:tmpl w:val="E98C1F52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21977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2528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E540B"/>
    <w:multiLevelType w:val="hybridMultilevel"/>
    <w:tmpl w:val="41164FD4"/>
    <w:lvl w:ilvl="0" w:tplc="9F7AB222">
      <w:start w:val="1"/>
      <w:numFmt w:val="lowerLetter"/>
      <w:lvlText w:val="%1)"/>
      <w:lvlJc w:val="left"/>
      <w:pPr>
        <w:tabs>
          <w:tab w:val="num" w:pos="720"/>
        </w:tabs>
        <w:ind w:left="720" w:firstLine="1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D7B2F"/>
    <w:multiLevelType w:val="multilevel"/>
    <w:tmpl w:val="205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FF5056"/>
    <w:multiLevelType w:val="hybridMultilevel"/>
    <w:tmpl w:val="4E00E84A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5"/>
  </w:num>
  <w:num w:numId="5">
    <w:abstractNumId w:val="17"/>
  </w:num>
  <w:num w:numId="6">
    <w:abstractNumId w:val="6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0"/>
  </w:num>
  <w:num w:numId="20">
    <w:abstractNumId w:val="7"/>
  </w:num>
  <w:num w:numId="21">
    <w:abstractNumId w:val="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7609"/>
    <w:rsid w:val="0003032B"/>
    <w:rsid w:val="000424EA"/>
    <w:rsid w:val="000451C7"/>
    <w:rsid w:val="00052396"/>
    <w:rsid w:val="00054088"/>
    <w:rsid w:val="00056737"/>
    <w:rsid w:val="00076EC7"/>
    <w:rsid w:val="000771EC"/>
    <w:rsid w:val="00083485"/>
    <w:rsid w:val="0008603E"/>
    <w:rsid w:val="000A0F54"/>
    <w:rsid w:val="000B4E4C"/>
    <w:rsid w:val="000C13DF"/>
    <w:rsid w:val="000E047B"/>
    <w:rsid w:val="00120102"/>
    <w:rsid w:val="001260C3"/>
    <w:rsid w:val="00136235"/>
    <w:rsid w:val="00140D47"/>
    <w:rsid w:val="00185ED3"/>
    <w:rsid w:val="001921C3"/>
    <w:rsid w:val="001A6046"/>
    <w:rsid w:val="001D0394"/>
    <w:rsid w:val="002031E2"/>
    <w:rsid w:val="002053B5"/>
    <w:rsid w:val="0021497D"/>
    <w:rsid w:val="00217E9B"/>
    <w:rsid w:val="00227339"/>
    <w:rsid w:val="002635BC"/>
    <w:rsid w:val="002801C4"/>
    <w:rsid w:val="002900CE"/>
    <w:rsid w:val="002A48DE"/>
    <w:rsid w:val="002E68DF"/>
    <w:rsid w:val="0033257D"/>
    <w:rsid w:val="003411B3"/>
    <w:rsid w:val="00353002"/>
    <w:rsid w:val="00357918"/>
    <w:rsid w:val="00370F22"/>
    <w:rsid w:val="00375959"/>
    <w:rsid w:val="00376F60"/>
    <w:rsid w:val="003A1768"/>
    <w:rsid w:val="003B009F"/>
    <w:rsid w:val="003B2622"/>
    <w:rsid w:val="003C05BC"/>
    <w:rsid w:val="003C438F"/>
    <w:rsid w:val="003D432F"/>
    <w:rsid w:val="003E424B"/>
    <w:rsid w:val="003F0907"/>
    <w:rsid w:val="004059E8"/>
    <w:rsid w:val="0040786F"/>
    <w:rsid w:val="004105B7"/>
    <w:rsid w:val="004171C6"/>
    <w:rsid w:val="004314ED"/>
    <w:rsid w:val="00437FB1"/>
    <w:rsid w:val="0044584E"/>
    <w:rsid w:val="00452D42"/>
    <w:rsid w:val="00463C15"/>
    <w:rsid w:val="00466D0D"/>
    <w:rsid w:val="00472299"/>
    <w:rsid w:val="0048044C"/>
    <w:rsid w:val="00480A6F"/>
    <w:rsid w:val="00480BD3"/>
    <w:rsid w:val="00480E10"/>
    <w:rsid w:val="004819DA"/>
    <w:rsid w:val="00484C95"/>
    <w:rsid w:val="00490ADF"/>
    <w:rsid w:val="004A2430"/>
    <w:rsid w:val="004B0498"/>
    <w:rsid w:val="004B745A"/>
    <w:rsid w:val="004E20C4"/>
    <w:rsid w:val="004E476E"/>
    <w:rsid w:val="004F25DA"/>
    <w:rsid w:val="00501D6D"/>
    <w:rsid w:val="00512D9F"/>
    <w:rsid w:val="005130FF"/>
    <w:rsid w:val="005409DD"/>
    <w:rsid w:val="00546C99"/>
    <w:rsid w:val="00550623"/>
    <w:rsid w:val="005831D9"/>
    <w:rsid w:val="0058401E"/>
    <w:rsid w:val="00587890"/>
    <w:rsid w:val="00590A10"/>
    <w:rsid w:val="005B1613"/>
    <w:rsid w:val="005B2EED"/>
    <w:rsid w:val="005C1055"/>
    <w:rsid w:val="005C12FE"/>
    <w:rsid w:val="005C26CD"/>
    <w:rsid w:val="005D3D50"/>
    <w:rsid w:val="005E3944"/>
    <w:rsid w:val="0060002A"/>
    <w:rsid w:val="006032EB"/>
    <w:rsid w:val="0061480A"/>
    <w:rsid w:val="006236EF"/>
    <w:rsid w:val="0063115B"/>
    <w:rsid w:val="00631FE6"/>
    <w:rsid w:val="00633DD7"/>
    <w:rsid w:val="00653FA7"/>
    <w:rsid w:val="00676714"/>
    <w:rsid w:val="00682098"/>
    <w:rsid w:val="006A78F5"/>
    <w:rsid w:val="006B69F5"/>
    <w:rsid w:val="006C6F1D"/>
    <w:rsid w:val="006E4051"/>
    <w:rsid w:val="006E5F4F"/>
    <w:rsid w:val="006F0071"/>
    <w:rsid w:val="006F0FAC"/>
    <w:rsid w:val="006F36DA"/>
    <w:rsid w:val="00717509"/>
    <w:rsid w:val="007247FD"/>
    <w:rsid w:val="00735685"/>
    <w:rsid w:val="00737914"/>
    <w:rsid w:val="007506FE"/>
    <w:rsid w:val="0075186B"/>
    <w:rsid w:val="0076770A"/>
    <w:rsid w:val="00770513"/>
    <w:rsid w:val="00770A3B"/>
    <w:rsid w:val="00771AC3"/>
    <w:rsid w:val="00772917"/>
    <w:rsid w:val="00776EB4"/>
    <w:rsid w:val="0078431F"/>
    <w:rsid w:val="0078723E"/>
    <w:rsid w:val="0079509F"/>
    <w:rsid w:val="007C515D"/>
    <w:rsid w:val="00802D86"/>
    <w:rsid w:val="0082471B"/>
    <w:rsid w:val="00831D9C"/>
    <w:rsid w:val="008421F1"/>
    <w:rsid w:val="00842688"/>
    <w:rsid w:val="0086793D"/>
    <w:rsid w:val="00877F0F"/>
    <w:rsid w:val="00881EEC"/>
    <w:rsid w:val="00885492"/>
    <w:rsid w:val="00895D57"/>
    <w:rsid w:val="008A0CA3"/>
    <w:rsid w:val="008A4660"/>
    <w:rsid w:val="008E5385"/>
    <w:rsid w:val="008F27CB"/>
    <w:rsid w:val="0090271B"/>
    <w:rsid w:val="00903F4D"/>
    <w:rsid w:val="009158C8"/>
    <w:rsid w:val="00926A2E"/>
    <w:rsid w:val="00941DB1"/>
    <w:rsid w:val="00942D4A"/>
    <w:rsid w:val="00955E51"/>
    <w:rsid w:val="0095699E"/>
    <w:rsid w:val="00973EEC"/>
    <w:rsid w:val="0097672F"/>
    <w:rsid w:val="00983ACD"/>
    <w:rsid w:val="009B3215"/>
    <w:rsid w:val="009B4A85"/>
    <w:rsid w:val="009B6372"/>
    <w:rsid w:val="009D293A"/>
    <w:rsid w:val="009D5359"/>
    <w:rsid w:val="009E05E0"/>
    <w:rsid w:val="00A13AD8"/>
    <w:rsid w:val="00A358A4"/>
    <w:rsid w:val="00A50686"/>
    <w:rsid w:val="00A65B8F"/>
    <w:rsid w:val="00A70109"/>
    <w:rsid w:val="00A8241A"/>
    <w:rsid w:val="00A843A7"/>
    <w:rsid w:val="00AA1F67"/>
    <w:rsid w:val="00AC2002"/>
    <w:rsid w:val="00AE0290"/>
    <w:rsid w:val="00AE74E7"/>
    <w:rsid w:val="00AE78EB"/>
    <w:rsid w:val="00B048C1"/>
    <w:rsid w:val="00B4295A"/>
    <w:rsid w:val="00B43073"/>
    <w:rsid w:val="00B50FD1"/>
    <w:rsid w:val="00B65BC6"/>
    <w:rsid w:val="00B74DAD"/>
    <w:rsid w:val="00B82810"/>
    <w:rsid w:val="00B86263"/>
    <w:rsid w:val="00B97A6A"/>
    <w:rsid w:val="00BB501D"/>
    <w:rsid w:val="00BC2201"/>
    <w:rsid w:val="00BD5665"/>
    <w:rsid w:val="00BF5503"/>
    <w:rsid w:val="00C014C8"/>
    <w:rsid w:val="00C0187E"/>
    <w:rsid w:val="00C14E87"/>
    <w:rsid w:val="00C220DC"/>
    <w:rsid w:val="00C26CF3"/>
    <w:rsid w:val="00C26D82"/>
    <w:rsid w:val="00C32494"/>
    <w:rsid w:val="00C426A5"/>
    <w:rsid w:val="00C57ADB"/>
    <w:rsid w:val="00CA7A37"/>
    <w:rsid w:val="00CC37A8"/>
    <w:rsid w:val="00D046C6"/>
    <w:rsid w:val="00D21189"/>
    <w:rsid w:val="00D26FE6"/>
    <w:rsid w:val="00D458E5"/>
    <w:rsid w:val="00D47132"/>
    <w:rsid w:val="00D47861"/>
    <w:rsid w:val="00D478B7"/>
    <w:rsid w:val="00D56C38"/>
    <w:rsid w:val="00D95658"/>
    <w:rsid w:val="00DA2963"/>
    <w:rsid w:val="00DA4234"/>
    <w:rsid w:val="00DB3C46"/>
    <w:rsid w:val="00DC0625"/>
    <w:rsid w:val="00DC6833"/>
    <w:rsid w:val="00DE64BB"/>
    <w:rsid w:val="00E03F90"/>
    <w:rsid w:val="00E07A29"/>
    <w:rsid w:val="00E14905"/>
    <w:rsid w:val="00E32796"/>
    <w:rsid w:val="00E71EC2"/>
    <w:rsid w:val="00E73DAB"/>
    <w:rsid w:val="00E76DB9"/>
    <w:rsid w:val="00E806C7"/>
    <w:rsid w:val="00E84767"/>
    <w:rsid w:val="00EB2553"/>
    <w:rsid w:val="00EB4FF7"/>
    <w:rsid w:val="00ED5E50"/>
    <w:rsid w:val="00ED73F0"/>
    <w:rsid w:val="00EE4561"/>
    <w:rsid w:val="00F00F31"/>
    <w:rsid w:val="00F01323"/>
    <w:rsid w:val="00F02565"/>
    <w:rsid w:val="00F046AD"/>
    <w:rsid w:val="00F137E8"/>
    <w:rsid w:val="00F2252B"/>
    <w:rsid w:val="00F22805"/>
    <w:rsid w:val="00F54FF7"/>
    <w:rsid w:val="00F65B4D"/>
    <w:rsid w:val="00F7659A"/>
    <w:rsid w:val="00F82A96"/>
    <w:rsid w:val="00F90555"/>
    <w:rsid w:val="00F90832"/>
    <w:rsid w:val="00FA29D8"/>
    <w:rsid w:val="00FC5929"/>
    <w:rsid w:val="00FD6367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A0A93BB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F1D"/>
    <w:pPr>
      <w:spacing w:before="300" w:after="30"/>
      <w:outlineLvl w:val="2"/>
    </w:pPr>
    <w:rPr>
      <w:b/>
      <w:bCs/>
      <w:color w:val="0011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6C6F1D"/>
    <w:rPr>
      <w:rFonts w:ascii="Times New Roman" w:eastAsia="Times New Roman" w:hAnsi="Times New Roman" w:cs="Times New Roman"/>
      <w:b/>
      <w:bCs/>
      <w:color w:val="001162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6F1D"/>
    <w:rPr>
      <w:color w:val="001162"/>
      <w:u w:val="single"/>
    </w:rPr>
  </w:style>
  <w:style w:type="paragraph" w:styleId="Normlnweb">
    <w:name w:val="Normal (Web)"/>
    <w:basedOn w:val="Normln"/>
    <w:uiPriority w:val="99"/>
    <w:semiHidden/>
    <w:unhideWhenUsed/>
    <w:rsid w:val="006C6F1D"/>
    <w:pPr>
      <w:spacing w:before="195" w:after="195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C6F1D"/>
    <w:rPr>
      <w:b/>
      <w:bCs/>
    </w:rPr>
  </w:style>
  <w:style w:type="paragraph" w:customStyle="1" w:styleId="Default">
    <w:name w:val="Default"/>
    <w:rsid w:val="00480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1398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9</cp:revision>
  <cp:lastPrinted>2021-10-26T12:05:00Z</cp:lastPrinted>
  <dcterms:created xsi:type="dcterms:W3CDTF">2021-08-26T11:02:00Z</dcterms:created>
  <dcterms:modified xsi:type="dcterms:W3CDTF">2021-10-26T12:05:00Z</dcterms:modified>
</cp:coreProperties>
</file>